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909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80"/>
        <w:gridCol w:w="22"/>
        <w:gridCol w:w="4691"/>
        <w:gridCol w:w="1260"/>
        <w:gridCol w:w="203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rFonts w:hint="eastAsia"/>
                <w:color w:val="000000"/>
              </w:rPr>
            </w:pPr>
            <w:r>
              <w:rPr>
                <w:rFonts w:hint="eastAsia"/>
                <w:color w:val="000000"/>
              </w:rPr>
              <w:t>提名单位</w:t>
            </w:r>
          </w:p>
        </w:tc>
        <w:tc>
          <w:tcPr>
            <w:tcW w:w="7989" w:type="dxa"/>
            <w:gridSpan w:val="3"/>
            <w:vAlign w:val="center"/>
          </w:tcPr>
          <w:p>
            <w:pPr>
              <w:jc w:val="center"/>
              <w:rPr>
                <w:rFonts w:hint="default"/>
                <w:color w:val="000000"/>
                <w:lang w:val="en-US"/>
              </w:rPr>
            </w:pPr>
            <w:r>
              <w:rPr>
                <w:rFonts w:hint="default"/>
                <w:color w:val="000000"/>
                <w:lang w:val="en-US"/>
              </w:rPr>
              <w:t>赤峰市科学技术局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color w:val="000000"/>
              </w:rPr>
            </w:pPr>
            <w:r>
              <w:rPr>
                <w:rFonts w:hint="eastAsia"/>
                <w:color w:val="000000"/>
              </w:rPr>
              <w:t>联系人</w:t>
            </w:r>
          </w:p>
        </w:tc>
        <w:tc>
          <w:tcPr>
            <w:tcW w:w="4691" w:type="dxa"/>
            <w:vAlign w:val="center"/>
          </w:tcPr>
          <w:p>
            <w:pPr>
              <w:jc w:val="center"/>
              <w:rPr>
                <w:rFonts w:hint="default"/>
                <w:color w:val="000000"/>
                <w:lang w:val="en-US"/>
              </w:rPr>
            </w:pPr>
            <w:r>
              <w:rPr>
                <w:rFonts w:hint="default"/>
                <w:color w:val="000000"/>
                <w:lang w:val="en-US"/>
              </w:rPr>
              <w:t>隋礼江</w:t>
            </w:r>
          </w:p>
        </w:tc>
        <w:tc>
          <w:tcPr>
            <w:tcW w:w="1260" w:type="dxa"/>
            <w:vAlign w:val="center"/>
          </w:tcPr>
          <w:p>
            <w:pPr>
              <w:jc w:val="center"/>
              <w:rPr>
                <w:color w:val="000000"/>
              </w:rPr>
            </w:pPr>
            <w:r>
              <w:rPr>
                <w:rFonts w:hint="eastAsia"/>
                <w:color w:val="000000"/>
              </w:rPr>
              <w:t>联系电话</w:t>
            </w:r>
          </w:p>
        </w:tc>
        <w:tc>
          <w:tcPr>
            <w:tcW w:w="2038" w:type="dxa"/>
            <w:vAlign w:val="center"/>
          </w:tcPr>
          <w:p>
            <w:pPr>
              <w:jc w:val="center"/>
              <w:rPr>
                <w:rFonts w:hint="default"/>
                <w:color w:val="000000"/>
                <w:lang w:val="en-US"/>
              </w:rPr>
            </w:pPr>
            <w:r>
              <w:rPr>
                <w:rFonts w:hint="default"/>
                <w:color w:val="000000"/>
                <w:lang w:val="en-US"/>
              </w:rPr>
              <w:t>0476-2788837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color w:val="000000"/>
              </w:rPr>
            </w:pPr>
            <w:r>
              <w:rPr>
                <w:rFonts w:hint="eastAsia"/>
                <w:color w:val="000000"/>
              </w:rPr>
              <w:t>电子邮箱</w:t>
            </w:r>
          </w:p>
        </w:tc>
        <w:tc>
          <w:tcPr>
            <w:tcW w:w="4691" w:type="dxa"/>
            <w:vAlign w:val="center"/>
          </w:tcPr>
          <w:p>
            <w:pPr>
              <w:jc w:val="center"/>
              <w:rPr>
                <w:rFonts w:hint="default"/>
                <w:color w:val="000000"/>
                <w:lang w:val="en-US"/>
              </w:rPr>
            </w:pPr>
            <w:r>
              <w:rPr>
                <w:rFonts w:hint="default"/>
                <w:color w:val="000000"/>
                <w:lang w:val="en-US"/>
              </w:rPr>
              <w:t>cfcgzx@163.com</w:t>
            </w:r>
          </w:p>
        </w:tc>
        <w:tc>
          <w:tcPr>
            <w:tcW w:w="1260" w:type="dxa"/>
            <w:vAlign w:val="center"/>
          </w:tcPr>
          <w:p>
            <w:pPr>
              <w:jc w:val="center"/>
              <w:rPr>
                <w:color w:val="000000"/>
              </w:rPr>
            </w:pPr>
            <w:r>
              <w:rPr>
                <w:rFonts w:hint="eastAsia"/>
                <w:color w:val="000000"/>
              </w:rPr>
              <w:t>传真</w:t>
            </w:r>
          </w:p>
        </w:tc>
        <w:tc>
          <w:tcPr>
            <w:tcW w:w="2038" w:type="dxa"/>
            <w:vAlign w:val="center"/>
          </w:tcPr>
          <w:p>
            <w:pPr>
              <w:jc w:val="center"/>
              <w:rPr>
                <w:rFonts w:hint="default"/>
                <w:color w:val="000000"/>
                <w:lang w:val="en-US"/>
              </w:rPr>
            </w:pPr>
            <w:r>
              <w:rPr>
                <w:rFonts w:hint="default"/>
                <w:color w:val="000000"/>
                <w:lang w:val="en-US"/>
              </w:rPr>
              <w:t>0476-2788852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49" w:hRule="atLeast"/>
          <w:jc w:val="center"/>
        </w:trPr>
        <w:tc>
          <w:tcPr>
            <w:tcW w:w="9091" w:type="dxa"/>
            <w:gridSpan w:val="5"/>
          </w:tcPr>
          <w:p>
            <w:pPr>
              <w:rPr>
                <w:rFonts w:ascii="宋体" w:hAnsi="宋体"/>
              </w:rPr>
            </w:pPr>
            <w:r>
              <w:rPr>
                <w:rFonts w:hint="eastAsia"/>
                <w:color w:val="000000"/>
                <w:szCs w:val="21"/>
              </w:rPr>
              <w:t>提名意见：</w:t>
            </w:r>
            <w:r>
              <w:rPr>
                <w:rFonts w:ascii="宋体" w:hAnsi="宋体"/>
              </w:rPr>
              <w:t xml:space="preserve"> </w:t>
            </w:r>
          </w:p>
          <w:p>
            <w:pPr>
              <w:ind w:firstLine="420" w:firstLineChars="200"/>
              <w:rPr>
                <w:rFonts w:hint="eastAsia" w:ascii="宋体" w:hAnsi="宋体"/>
              </w:rPr>
            </w:pPr>
            <w:r>
              <w:rPr>
                <w:rFonts w:hint="eastAsia" w:ascii="宋体" w:hAnsi="宋体"/>
              </w:rPr>
              <w:t>该项目针对外来入侵植物长刺蒺藜草在科尔沁沙地南缘持续扩散和危害，长期以来缺乏系统性防控技术且防控成本高，严重危害生态安全和农林牧业生产等突出问题，历时二十年持续科技攻关，探索出了生态修复、物理机械、植物竞争替代和化学防控综合技术体系。一是首次明确了植被盖度40%为长刺蒺藜草侵入的生态阈值，为预防和阻断该物种入侵提供了量化控制指标；二是创新研发了4ZF-120A型长刺蒺藜草种子收获机，并获得实用新型专利；三是首创了猪毛蒿生物替代防控技术，为无公害生物替代防控提供了新路径；四是筛选出5%精喹禾灵乳油施用浓度80 ml/亩为苜蓿人工草地最优防控方案。目前，该成果在敖汉旗累计试验示范162hm²次，推广应用773.53hm²次，经济、生态、社会效益显著。2024年12月，经</w:t>
            </w:r>
            <w:r>
              <w:rPr>
                <w:rFonts w:hint="eastAsia" w:ascii="宋体" w:hAnsi="宋体"/>
                <w:lang w:eastAsia="zh-CN"/>
              </w:rPr>
              <w:t>成果</w:t>
            </w:r>
            <w:r>
              <w:rPr>
                <w:rFonts w:hint="eastAsia" w:ascii="宋体" w:hAnsi="宋体"/>
              </w:rPr>
              <w:t>评价，该成果技术创新度2级，整体先进度5级，技术成熟度9级，整体达到国内领先水平。</w:t>
            </w:r>
          </w:p>
          <w:p>
            <w:pPr>
              <w:rPr>
                <w:rFonts w:hint="eastAsia" w:ascii="宋体" w:hAnsi="宋体"/>
              </w:rPr>
            </w:pPr>
          </w:p>
          <w:p>
            <w:pPr>
              <w:ind w:firstLine="420" w:firstLineChars="200"/>
              <w:rPr>
                <w:rFonts w:hint="eastAsia" w:ascii="宋体" w:hAnsi="宋体"/>
              </w:rPr>
            </w:pPr>
            <w:r>
              <w:rPr>
                <w:rFonts w:hint="eastAsia" w:ascii="宋体" w:hAnsi="宋体"/>
              </w:rPr>
              <w:t>提名该项目为内蒙古自治区科学技术进步奖</w:t>
            </w:r>
            <w:r>
              <w:rPr>
                <w:rFonts w:hint="eastAsia" w:ascii="宋体" w:hAnsi="宋体"/>
                <w:lang w:eastAsia="zh-CN"/>
              </w:rPr>
              <w:t>一等奖</w:t>
            </w:r>
            <w:bookmarkStart w:id="0" w:name="_GoBack"/>
            <w:bookmarkEnd w:id="0"/>
            <w:r>
              <w:rPr>
                <w:rFonts w:hint="eastAsia" w:ascii="宋体" w:hAnsi="宋体"/>
                <w:lang w:eastAsia="zh-CN"/>
              </w:rPr>
              <w:t>或二</w:t>
            </w:r>
            <w:r>
              <w:rPr>
                <w:rFonts w:hint="eastAsia" w:ascii="宋体" w:hAnsi="宋体"/>
              </w:rPr>
              <w:t>等奖。</w:t>
            </w:r>
          </w:p>
          <w:p>
            <w:pPr>
              <w:ind w:firstLine="420" w:firstLineChars="200"/>
              <w:rPr>
                <w:rFonts w:ascii="宋体" w:hAnsi="宋体"/>
              </w:rPr>
            </w:pPr>
            <w:r>
              <w:rPr>
                <w:rFonts w:hint="eastAsia" w:ascii="宋体" w:hAnsi="宋体"/>
              </w:rPr>
              <w:t>该项目已征求了</w:t>
            </w:r>
            <w:r>
              <w:rPr>
                <w:rFonts w:hint="eastAsia" w:ascii="宋体" w:hAnsi="宋体"/>
                <w:lang w:eastAsia="zh-CN"/>
              </w:rPr>
              <w:t>韩辉林（东北林业大学、森林保护）、理永霞（中国林科院森林生态环境与自然保护研究所、森林保护学）、游崇娟（北京林业大学、森林保护学）</w:t>
            </w:r>
            <w:r>
              <w:rPr>
                <w:rFonts w:hint="eastAsia" w:ascii="宋体" w:hAnsi="宋体"/>
              </w:rPr>
              <w:t>等3名专家意见。</w:t>
            </w:r>
          </w:p>
          <w:p>
            <w:pPr>
              <w:ind w:firstLine="420" w:firstLineChars="200"/>
              <w:rPr>
                <w:rFonts w:ascii="宋体" w:hAnsi="宋体"/>
              </w:rPr>
            </w:pPr>
            <w:r>
              <w:rPr>
                <w:rFonts w:hint="eastAsia" w:ascii="宋体" w:hAnsi="宋体"/>
              </w:rPr>
              <w:t>本单位已于</w:t>
            </w:r>
            <w:r>
              <w:rPr>
                <w:rFonts w:hint="eastAsia" w:ascii="宋体" w:hAnsi="宋体"/>
                <w:lang w:val="en-US" w:eastAsia="zh-CN"/>
              </w:rPr>
              <w:t>2026</w:t>
            </w:r>
            <w:r>
              <w:rPr>
                <w:rFonts w:hint="eastAsia" w:ascii="宋体" w:hAnsi="宋体"/>
              </w:rPr>
              <w:t>年</w:t>
            </w:r>
            <w:r>
              <w:rPr>
                <w:rFonts w:hint="eastAsia" w:ascii="宋体" w:hAnsi="宋体"/>
                <w:lang w:val="en-US" w:eastAsia="zh-CN"/>
              </w:rPr>
              <w:t>9</w:t>
            </w:r>
            <w:r>
              <w:rPr>
                <w:rFonts w:hint="eastAsia" w:ascii="宋体" w:hAnsi="宋体"/>
              </w:rPr>
              <w:t>月</w:t>
            </w:r>
            <w:r>
              <w:rPr>
                <w:rFonts w:hint="eastAsia" w:ascii="宋体" w:hAnsi="宋体"/>
                <w:lang w:val="en-US" w:eastAsia="zh-CN"/>
              </w:rPr>
              <w:t>4</w:t>
            </w:r>
            <w:r>
              <w:rPr>
                <w:rFonts w:hint="eastAsia" w:ascii="宋体" w:hAnsi="宋体"/>
              </w:rPr>
              <w:t>日通过</w:t>
            </w:r>
            <w:r>
              <w:rPr>
                <w:rFonts w:hint="eastAsia" w:ascii="宋体" w:hAnsi="宋体"/>
                <w:lang w:eastAsia="zh-CN"/>
              </w:rPr>
              <w:t>赤峰市科学技术局官网</w:t>
            </w:r>
            <w:r>
              <w:rPr>
                <w:rFonts w:hint="eastAsia" w:ascii="宋体" w:hAnsi="宋体"/>
              </w:rPr>
              <w:t>方式对该项目的有关内容进行了公示。</w:t>
            </w:r>
          </w:p>
          <w:p>
            <w:pPr>
              <w:ind w:firstLine="630" w:firstLineChars="300"/>
              <w:jc w:val="left"/>
              <w:rPr>
                <w:rFonts w:hint="eastAsia"/>
                <w:kern w:val="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38" w:hRule="atLeast"/>
          <w:jc w:val="center"/>
        </w:trPr>
        <w:tc>
          <w:tcPr>
            <w:tcW w:w="1080" w:type="dxa"/>
            <w:vAlign w:val="center"/>
          </w:tcPr>
          <w:p>
            <w:pPr>
              <w:jc w:val="center"/>
              <w:rPr>
                <w:color w:val="000000"/>
                <w:szCs w:val="20"/>
              </w:rPr>
            </w:pPr>
            <w:r>
              <w:rPr>
                <w:rFonts w:hint="eastAsia"/>
                <w:color w:val="000000"/>
                <w:szCs w:val="20"/>
              </w:rPr>
              <w:t>声</w:t>
            </w:r>
          </w:p>
          <w:p>
            <w:pPr>
              <w:jc w:val="center"/>
              <w:rPr>
                <w:color w:val="000000"/>
              </w:rPr>
            </w:pPr>
            <w:r>
              <w:rPr>
                <w:rFonts w:hint="eastAsia"/>
                <w:color w:val="000000"/>
              </w:rPr>
              <w:t>明</w:t>
            </w:r>
          </w:p>
        </w:tc>
        <w:tc>
          <w:tcPr>
            <w:tcW w:w="8011" w:type="dxa"/>
            <w:gridSpan w:val="4"/>
          </w:tcPr>
          <w:p>
            <w:pPr>
              <w:spacing w:line="400" w:lineRule="exact"/>
              <w:ind w:firstLine="420" w:firstLineChars="200"/>
              <w:rPr>
                <w:color w:val="000000"/>
              </w:rPr>
            </w:pPr>
            <w:r>
              <w:rPr>
                <w:rFonts w:hint="eastAsia"/>
                <w:color w:val="000000"/>
              </w:rPr>
              <w:t>本单位遵守《内蒙古自治区科学技术奖励办法》及其实施细则的有关规定和内蒙古自治区科学技术奖提名工作的具体要求，对提名书内容及全部附件材料进行了严格审查，确认该项目符合内蒙古自治区科学技术奖提名资格条件。</w:t>
            </w:r>
          </w:p>
          <w:p>
            <w:pPr>
              <w:spacing w:line="400" w:lineRule="exact"/>
              <w:ind w:firstLine="420" w:firstLineChars="200"/>
              <w:rPr>
                <w:color w:val="000000"/>
              </w:rPr>
            </w:pPr>
            <w:r>
              <w:rPr>
                <w:rFonts w:hint="eastAsia"/>
                <w:color w:val="000000"/>
              </w:rPr>
              <w:t>本单位承诺，如有材料虚假、科研失信、违规违纪等行为，愿意承担相应责任。如产生争议，将负责核实查证并出具调查核实意见。</w:t>
            </w:r>
          </w:p>
          <w:p>
            <w:pPr>
              <w:rPr>
                <w:rFonts w:ascii="仿宋_GB2312" w:hAnsi="仿宋_GB2312" w:cs="Times New Roman"/>
                <w:color w:val="000000"/>
                <w:szCs w:val="21"/>
              </w:rPr>
            </w:pPr>
          </w:p>
          <w:p>
            <w:pPr>
              <w:rPr>
                <w:rFonts w:ascii="仿宋_GB2312" w:hAnsi="仿宋_GB2312" w:cs="Times New Roman"/>
                <w:color w:val="000000"/>
                <w:szCs w:val="21"/>
              </w:rPr>
            </w:pPr>
          </w:p>
          <w:p>
            <w:pPr>
              <w:rPr>
                <w:rFonts w:ascii="仿宋_GB2312" w:hAnsi="仿宋_GB2312" w:cs="Times New Roman"/>
                <w:color w:val="000000"/>
                <w:szCs w:val="21"/>
              </w:rPr>
            </w:pPr>
          </w:p>
          <w:p>
            <w:pPr>
              <w:rPr>
                <w:rFonts w:ascii="仿宋_GB2312" w:hAnsi="仿宋_GB2312" w:cs="Times New Roman"/>
                <w:color w:val="000000"/>
                <w:szCs w:val="21"/>
              </w:rPr>
            </w:pPr>
            <w:r>
              <w:rPr>
                <w:rFonts w:hint="eastAsia" w:ascii="仿宋_GB2312" w:hAnsi="仿宋_GB2312" w:cs="Times New Roman"/>
                <w:color w:val="000000"/>
                <w:szCs w:val="21"/>
              </w:rPr>
              <w:t xml:space="preserve">                                        提名单位公章</w:t>
            </w:r>
          </w:p>
          <w:p>
            <w:pPr>
              <w:rPr>
                <w:rFonts w:ascii="仿宋_GB2312" w:hAnsi="仿宋_GB2312" w:cs="Times New Roman"/>
                <w:color w:val="000000"/>
                <w:szCs w:val="21"/>
              </w:rPr>
            </w:pPr>
          </w:p>
          <w:p>
            <w:pPr>
              <w:rPr>
                <w:color w:val="000000"/>
              </w:rPr>
            </w:pPr>
            <w:r>
              <w:rPr>
                <w:rFonts w:hint="eastAsia" w:ascii="仿宋_GB2312" w:hAnsi="仿宋_GB2312" w:cs="Times New Roman"/>
                <w:color w:val="000000"/>
                <w:szCs w:val="21"/>
              </w:rPr>
              <w:t xml:space="preserve">                                                        年   月   日</w:t>
            </w:r>
          </w:p>
        </w:tc>
      </w:tr>
    </w:tbl>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00"/>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mOGViNWYxZDNlZTU2NjE4MzVhN2I1MzI5ZjM3NDgifQ=="/>
    <w:docVar w:name="KSO_WPS_MARK_KEY" w:val="528f0a4b-dcd3-40c0-9cc4-db27954ca8d5"/>
  </w:docVars>
  <w:rsids>
    <w:rsidRoot w:val="00000000"/>
    <w:rsid w:val="02286B1D"/>
    <w:rsid w:val="077C4233"/>
    <w:rsid w:val="0EAA9832"/>
    <w:rsid w:val="12BF0DF0"/>
    <w:rsid w:val="1DEE2B33"/>
    <w:rsid w:val="21845481"/>
    <w:rsid w:val="2D5C29FD"/>
    <w:rsid w:val="2FFBDB2E"/>
    <w:rsid w:val="30A40444"/>
    <w:rsid w:val="34E708E9"/>
    <w:rsid w:val="358E5CA2"/>
    <w:rsid w:val="37F5E5DA"/>
    <w:rsid w:val="3ABCE902"/>
    <w:rsid w:val="4A4C5726"/>
    <w:rsid w:val="4D8D56BD"/>
    <w:rsid w:val="4F3D83BB"/>
    <w:rsid w:val="5F777D79"/>
    <w:rsid w:val="69D924A6"/>
    <w:rsid w:val="6A9E7C87"/>
    <w:rsid w:val="70DF2348"/>
    <w:rsid w:val="75741164"/>
    <w:rsid w:val="78A43B93"/>
    <w:rsid w:val="7DBF35F9"/>
    <w:rsid w:val="8F7D243E"/>
    <w:rsid w:val="A7FD8B3A"/>
    <w:rsid w:val="AF3F22FD"/>
    <w:rsid w:val="B96F60C7"/>
    <w:rsid w:val="CDDEAE90"/>
    <w:rsid w:val="D9BBEA67"/>
    <w:rsid w:val="DF7E5A21"/>
    <w:rsid w:val="DFFFA85C"/>
    <w:rsid w:val="EFFAC83B"/>
    <w:rsid w:val="FBED5C1C"/>
    <w:rsid w:val="FEF6F4B4"/>
    <w:rsid w:val="FFDEFF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spacing w:line="360" w:lineRule="auto"/>
      <w:ind w:firstLine="480" w:firstLineChars="200"/>
    </w:pPr>
    <w:rPr>
      <w:rFonts w:ascii="仿宋_GB2312" w:hAnsi="Times New Roman" w:eastAsia="宋体" w:cs="Times New Roman"/>
      <w:sz w:val="24"/>
      <w:szCs w:val="20"/>
    </w:rPr>
  </w:style>
  <w:style w:type="paragraph" w:styleId="3">
    <w:name w:val="footer"/>
    <w:basedOn w:val="1"/>
    <w:unhideWhenUsed/>
    <w:qFormat/>
    <w:uiPriority w:val="0"/>
    <w:pPr>
      <w:tabs>
        <w:tab w:val="center" w:pos="4153"/>
        <w:tab w:val="right" w:pos="8306"/>
      </w:tabs>
      <w:snapToGrid w:val="0"/>
      <w:jc w:val="left"/>
    </w:pPr>
    <w:rPr>
      <w:sz w:val="18"/>
      <w:szCs w:val="18"/>
    </w:rPr>
  </w:style>
  <w:style w:type="paragraph" w:styleId="4">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index 1"/>
    <w:basedOn w:val="1"/>
    <w:next w:val="1"/>
    <w:semiHidden/>
    <w:qFormat/>
    <w:uiPriority w:val="0"/>
    <w:pPr>
      <w:widowControl/>
      <w:snapToGrid w:val="0"/>
    </w:pPr>
  </w:style>
  <w:style w:type="paragraph" w:customStyle="1" w:styleId="8">
    <w:name w:val="_Style 8"/>
    <w:basedOn w:val="1"/>
    <w:next w:val="1"/>
    <w:qFormat/>
    <w:uiPriority w:val="0"/>
    <w:pPr>
      <w:spacing w:line="360" w:lineRule="auto"/>
      <w:ind w:firstLine="480" w:firstLineChars="200"/>
    </w:pPr>
    <w:rPr>
      <w:rFonts w:ascii="仿宋_GB2312"/>
      <w:sz w:val="24"/>
    </w:rPr>
  </w:style>
  <w:style w:type="paragraph" w:customStyle="1" w:styleId="9">
    <w:name w:val="表格文字"/>
    <w:basedOn w:val="2"/>
    <w:qFormat/>
    <w:uiPriority w:val="0"/>
    <w:pPr>
      <w:spacing w:line="390" w:lineRule="exact"/>
      <w:ind w:firstLine="0" w:firstLineChars="0"/>
      <w:jc w:val="center"/>
    </w:pPr>
    <w:rPr>
      <w:rFonts w:hAnsi="仿宋_GB2312" w:eastAsia="仿宋_GB231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771</Words>
  <Characters>821</Characters>
  <Lines>0</Lines>
  <Paragraphs>0</Paragraphs>
  <TotalTime>0</TotalTime>
  <ScaleCrop>false</ScaleCrop>
  <LinksUpToDate>false</LinksUpToDate>
  <CharactersWithSpaces>952</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2024-11-16T16:26:00Z</dcterms:created>
  <dc:creator>YF</dc:creator>
  <cp:lastModifiedBy>kjj</cp:lastModifiedBy>
  <dcterms:modified xsi:type="dcterms:W3CDTF">2026-09-04T13:15:54Z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EEE51FDAEA1B400DA0D7D7212F60BABE</vt:lpwstr>
  </property>
</Properties>
</file>