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80"/>
        <w:gridCol w:w="22"/>
        <w:gridCol w:w="4691"/>
        <w:gridCol w:w="1260"/>
        <w:gridCol w:w="203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2" w:type="dxa"/>
            <w:gridSpan w:val="2"/>
            <w:vAlign w:val="center"/>
          </w:tcPr>
          <w:p>
            <w:pPr>
              <w:jc w:val="center"/>
              <w:rPr>
                <w:rFonts w:hint="eastAsia"/>
                <w:color w:val="000000"/>
              </w:rPr>
            </w:pPr>
            <w:r>
              <w:rPr>
                <w:rFonts w:hint="eastAsia"/>
                <w:color w:val="000000"/>
              </w:rPr>
              <w:t>提名单位</w:t>
            </w:r>
          </w:p>
        </w:tc>
        <w:tc>
          <w:tcPr>
            <w:tcW w:w="7989" w:type="dxa"/>
            <w:gridSpan w:val="3"/>
            <w:vAlign w:val="center"/>
          </w:tcPr>
          <w:p>
            <w:pPr>
              <w:jc w:val="center"/>
              <w:rPr>
                <w:rFonts w:hint="default"/>
                <w:color w:val="000000"/>
                <w:lang w:val="en-US"/>
              </w:rPr>
            </w:pPr>
            <w:r>
              <w:rPr>
                <w:rFonts w:hint="default"/>
                <w:color w:val="000000"/>
                <w:lang w:val="en-US"/>
              </w:rPr>
              <w:t>赤峰市科学技术局</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2" w:type="dxa"/>
            <w:gridSpan w:val="2"/>
            <w:vAlign w:val="center"/>
          </w:tcPr>
          <w:p>
            <w:pPr>
              <w:jc w:val="center"/>
              <w:rPr>
                <w:color w:val="000000"/>
              </w:rPr>
            </w:pPr>
            <w:r>
              <w:rPr>
                <w:rFonts w:hint="eastAsia"/>
                <w:color w:val="000000"/>
              </w:rPr>
              <w:t>联系人</w:t>
            </w:r>
          </w:p>
        </w:tc>
        <w:tc>
          <w:tcPr>
            <w:tcW w:w="4691" w:type="dxa"/>
            <w:vAlign w:val="center"/>
          </w:tcPr>
          <w:p>
            <w:pPr>
              <w:jc w:val="center"/>
              <w:rPr>
                <w:rFonts w:hint="default"/>
                <w:color w:val="000000"/>
                <w:lang w:val="en-US"/>
              </w:rPr>
            </w:pPr>
            <w:r>
              <w:rPr>
                <w:rFonts w:hint="default"/>
                <w:color w:val="000000"/>
                <w:lang w:val="en-US"/>
              </w:rPr>
              <w:t>隋礼江</w:t>
            </w:r>
          </w:p>
        </w:tc>
        <w:tc>
          <w:tcPr>
            <w:tcW w:w="1260" w:type="dxa"/>
            <w:vAlign w:val="center"/>
          </w:tcPr>
          <w:p>
            <w:pPr>
              <w:jc w:val="center"/>
              <w:rPr>
                <w:color w:val="000000"/>
              </w:rPr>
            </w:pPr>
            <w:r>
              <w:rPr>
                <w:rFonts w:hint="eastAsia"/>
                <w:color w:val="000000"/>
              </w:rPr>
              <w:t>联系电话</w:t>
            </w:r>
          </w:p>
        </w:tc>
        <w:tc>
          <w:tcPr>
            <w:tcW w:w="2038" w:type="dxa"/>
            <w:vAlign w:val="center"/>
          </w:tcPr>
          <w:p>
            <w:pPr>
              <w:jc w:val="center"/>
              <w:rPr>
                <w:rFonts w:hint="default"/>
                <w:color w:val="000000"/>
                <w:lang w:val="en-US"/>
              </w:rPr>
            </w:pPr>
            <w:r>
              <w:rPr>
                <w:rFonts w:hint="default"/>
                <w:color w:val="000000"/>
                <w:lang w:val="en-US"/>
              </w:rPr>
              <w:t>0476-2788837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2" w:type="dxa"/>
            <w:gridSpan w:val="2"/>
            <w:vAlign w:val="center"/>
          </w:tcPr>
          <w:p>
            <w:pPr>
              <w:jc w:val="center"/>
              <w:rPr>
                <w:color w:val="000000"/>
              </w:rPr>
            </w:pPr>
            <w:r>
              <w:rPr>
                <w:rFonts w:hint="eastAsia"/>
                <w:color w:val="000000"/>
              </w:rPr>
              <w:t>电子邮箱</w:t>
            </w:r>
          </w:p>
        </w:tc>
        <w:tc>
          <w:tcPr>
            <w:tcW w:w="4691" w:type="dxa"/>
            <w:vAlign w:val="center"/>
          </w:tcPr>
          <w:p>
            <w:pPr>
              <w:jc w:val="center"/>
              <w:rPr>
                <w:rFonts w:hint="default"/>
                <w:color w:val="000000"/>
                <w:lang w:val="en-US"/>
              </w:rPr>
            </w:pPr>
            <w:r>
              <w:rPr>
                <w:rFonts w:hint="default"/>
                <w:color w:val="000000"/>
                <w:lang w:val="en-US"/>
              </w:rPr>
              <w:t>cfcgzx@163.com</w:t>
            </w:r>
          </w:p>
        </w:tc>
        <w:tc>
          <w:tcPr>
            <w:tcW w:w="1260" w:type="dxa"/>
            <w:vAlign w:val="center"/>
          </w:tcPr>
          <w:p>
            <w:pPr>
              <w:jc w:val="center"/>
              <w:rPr>
                <w:color w:val="000000"/>
              </w:rPr>
            </w:pPr>
            <w:r>
              <w:rPr>
                <w:rFonts w:hint="eastAsia"/>
                <w:color w:val="000000"/>
              </w:rPr>
              <w:t>传真</w:t>
            </w:r>
          </w:p>
        </w:tc>
        <w:tc>
          <w:tcPr>
            <w:tcW w:w="2038" w:type="dxa"/>
            <w:vAlign w:val="center"/>
          </w:tcPr>
          <w:p>
            <w:pPr>
              <w:jc w:val="center"/>
              <w:rPr>
                <w:rFonts w:hint="default"/>
                <w:color w:val="000000"/>
                <w:lang w:val="en-US"/>
              </w:rPr>
            </w:pPr>
            <w:r>
              <w:rPr>
                <w:rFonts w:hint="default"/>
                <w:color w:val="000000"/>
                <w:lang w:val="en-US"/>
              </w:rPr>
              <w:t>0476-2788852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49" w:hRule="atLeast"/>
          <w:jc w:val="center"/>
        </w:trPr>
        <w:tc>
          <w:tcPr>
            <w:tcW w:w="9091" w:type="dxa"/>
            <w:gridSpan w:val="5"/>
          </w:tcPr>
          <w:p>
            <w:pPr>
              <w:rPr>
                <w:rFonts w:ascii="宋体" w:hAnsi="宋体"/>
              </w:rPr>
            </w:pPr>
            <w:r>
              <w:rPr>
                <w:rFonts w:hint="eastAsia"/>
                <w:color w:val="000000"/>
                <w:szCs w:val="21"/>
              </w:rPr>
              <w:t>提名意见：</w:t>
            </w:r>
            <w:r>
              <w:rPr>
                <w:rFonts w:ascii="宋体" w:hAnsi="宋体"/>
              </w:rPr>
              <w:t xml:space="preserve"> </w:t>
            </w:r>
          </w:p>
          <w:p>
            <w:pPr>
              <w:ind w:firstLine="420" w:firstLineChars="200"/>
              <w:rPr>
                <w:rFonts w:hint="eastAsia" w:ascii="宋体" w:hAnsi="宋体"/>
              </w:rPr>
            </w:pPr>
            <w:r>
              <w:rPr>
                <w:rFonts w:hint="eastAsia" w:ascii="宋体" w:hAnsi="宋体"/>
              </w:rPr>
              <w:t>1.贴合政策：该项目契合国家发改委、国家能源局相关政策要求，对标《关于加快推进能源数字化智能化发展的若干意见》《新一代煤电升级专项行动实施方案(2025—2027年)》，精准落实火电、输煤场景无人值守、智能巡检、AI运维及设备协同改造要求，贴合能源行业智能化、绿色低碳转型发展趋势，立项导向精准、合规性强。</w:t>
            </w:r>
          </w:p>
          <w:p>
            <w:pPr>
              <w:ind w:firstLine="420" w:firstLineChars="200"/>
              <w:rPr>
                <w:rFonts w:hint="eastAsia" w:ascii="宋体" w:hAnsi="宋体"/>
              </w:rPr>
            </w:pPr>
            <w:r>
              <w:rPr>
                <w:rFonts w:hint="eastAsia" w:ascii="宋体" w:hAnsi="宋体"/>
              </w:rPr>
              <w:t>2.技术创新：项目针对传统输煤系统作业短板，集成斗轮机无人控制、机器人智能巡检、栈桥自动冲洗三大智能系统，攻克设备精准定位、故障识别、多系统协同联动等关键技术瓶颈，搭建适配现场复杂工况的智慧输煤无人值守体系，技术创新亮点鲜明。</w:t>
            </w:r>
          </w:p>
          <w:p>
            <w:pPr>
              <w:ind w:firstLine="420" w:firstLineChars="200"/>
              <w:rPr>
                <w:rFonts w:hint="eastAsia" w:ascii="宋体" w:hAnsi="宋体"/>
              </w:rPr>
            </w:pPr>
            <w:r>
              <w:rPr>
                <w:rFonts w:hint="eastAsia" w:ascii="宋体" w:hAnsi="宋体"/>
              </w:rPr>
              <w:t>3.应用成效：有效替代高危人工运维作业，大幅降低劳动强度与现场安全风险，优化扬尘治理与智能控水模式，解决传统作业重复性高、隐患多、能耗大等行业痛点，显著提升输煤系统智能化、绿色化运维质效。</w:t>
            </w:r>
          </w:p>
          <w:p>
            <w:pPr>
              <w:rPr>
                <w:rFonts w:hint="eastAsia" w:ascii="宋体" w:hAnsi="宋体"/>
              </w:rPr>
            </w:pPr>
          </w:p>
          <w:p>
            <w:pPr>
              <w:ind w:firstLine="420" w:firstLineChars="200"/>
              <w:rPr>
                <w:rFonts w:hint="eastAsia" w:ascii="宋体" w:hAnsi="宋体"/>
              </w:rPr>
            </w:pPr>
            <w:r>
              <w:rPr>
                <w:rFonts w:hint="eastAsia" w:ascii="宋体" w:hAnsi="宋体"/>
              </w:rPr>
              <w:t>提名该项目为内蒙古自治区科学技术进步奖</w:t>
            </w:r>
            <w:r>
              <w:rPr>
                <w:rFonts w:hint="eastAsia" w:ascii="宋体" w:hAnsi="宋体"/>
                <w:lang w:eastAsia="zh-CN"/>
              </w:rPr>
              <w:t>二</w:t>
            </w:r>
            <w:r>
              <w:rPr>
                <w:rFonts w:hint="eastAsia" w:ascii="宋体" w:hAnsi="宋体"/>
              </w:rPr>
              <w:t>等奖。</w:t>
            </w:r>
          </w:p>
          <w:p>
            <w:pPr>
              <w:ind w:firstLine="420" w:firstLineChars="200"/>
              <w:rPr>
                <w:rFonts w:ascii="宋体" w:hAnsi="宋体"/>
              </w:rPr>
            </w:pPr>
            <w:r>
              <w:rPr>
                <w:rFonts w:hint="eastAsia" w:ascii="宋体" w:hAnsi="宋体"/>
              </w:rPr>
              <w:t>该项目已征求了</w:t>
            </w:r>
            <w:r>
              <w:rPr>
                <w:rFonts w:hint="eastAsia" w:ascii="宋体" w:hAnsi="宋体"/>
                <w:lang w:val="en-US" w:eastAsia="zh-CN"/>
              </w:rPr>
              <w:t>张中林</w:t>
            </w:r>
            <w:r>
              <w:rPr>
                <w:rFonts w:hint="eastAsia" w:ascii="宋体" w:hAnsi="宋体"/>
              </w:rPr>
              <w:t>（南京工程学院、火电厂节能减排和系统优化仿真）、</w:t>
            </w:r>
            <w:r>
              <w:rPr>
                <w:rFonts w:hint="eastAsia" w:ascii="宋体" w:hAnsi="宋体"/>
                <w:lang w:val="en-US" w:eastAsia="zh-CN"/>
              </w:rPr>
              <w:t>余剑</w:t>
            </w:r>
            <w:r>
              <w:rPr>
                <w:rFonts w:hint="eastAsia" w:ascii="宋体" w:hAnsi="宋体"/>
              </w:rPr>
              <w:t>（中铝环保节能集团有限公司、能源与环境系统工程）、吴勇峰（江苏峰工电气科技有限公司、仪器科学与技术）等3名专家意见。</w:t>
            </w:r>
          </w:p>
          <w:p>
            <w:pPr>
              <w:ind w:firstLine="420" w:firstLineChars="200"/>
              <w:rPr>
                <w:rFonts w:ascii="宋体" w:hAnsi="宋体"/>
              </w:rPr>
            </w:pPr>
            <w:r>
              <w:rPr>
                <w:rFonts w:hint="eastAsia" w:ascii="宋体" w:hAnsi="宋体"/>
              </w:rPr>
              <w:t>本单位已于</w:t>
            </w:r>
            <w:r>
              <w:rPr>
                <w:rFonts w:hint="eastAsia" w:ascii="宋体" w:hAnsi="宋体"/>
                <w:lang w:val="en-US" w:eastAsia="zh-CN"/>
              </w:rPr>
              <w:t>2026</w:t>
            </w:r>
            <w:r>
              <w:rPr>
                <w:rFonts w:hint="eastAsia" w:ascii="宋体" w:hAnsi="宋体"/>
              </w:rPr>
              <w:t>年</w:t>
            </w:r>
            <w:r>
              <w:rPr>
                <w:rFonts w:hint="eastAsia" w:ascii="宋体" w:hAnsi="宋体"/>
                <w:lang w:val="en-US" w:eastAsia="zh-CN"/>
              </w:rPr>
              <w:t>9</w:t>
            </w:r>
            <w:r>
              <w:rPr>
                <w:rFonts w:hint="eastAsia" w:ascii="宋体" w:hAnsi="宋体"/>
              </w:rPr>
              <w:t>月</w:t>
            </w:r>
            <w:r>
              <w:rPr>
                <w:rFonts w:hint="eastAsia" w:ascii="宋体" w:hAnsi="宋体"/>
                <w:lang w:val="en-US" w:eastAsia="zh-CN"/>
              </w:rPr>
              <w:t>4</w:t>
            </w:r>
            <w:r>
              <w:rPr>
                <w:rFonts w:hint="eastAsia" w:ascii="宋体" w:hAnsi="宋体"/>
              </w:rPr>
              <w:t>日通过</w:t>
            </w:r>
            <w:r>
              <w:rPr>
                <w:rFonts w:hint="eastAsia" w:ascii="宋体" w:hAnsi="宋体"/>
                <w:lang w:eastAsia="zh-CN"/>
              </w:rPr>
              <w:t>赤峰市科学技术局官网</w:t>
            </w:r>
            <w:r>
              <w:rPr>
                <w:rFonts w:hint="eastAsia" w:ascii="宋体" w:hAnsi="宋体"/>
              </w:rPr>
              <w:t>方式对该项目的有关内容进行了公示。</w:t>
            </w:r>
          </w:p>
          <w:p>
            <w:pPr>
              <w:rPr>
                <w:rFonts w:ascii="宋体" w:hAnsi="宋体"/>
              </w:rPr>
            </w:pPr>
          </w:p>
          <w:p>
            <w:pPr>
              <w:ind w:firstLine="630" w:firstLineChars="300"/>
              <w:jc w:val="left"/>
              <w:rPr>
                <w:rFonts w:hint="eastAsia"/>
                <w:kern w:val="0"/>
                <w:szCs w:val="20"/>
              </w:rPr>
            </w:pPr>
            <w:bookmarkStart w:id="0" w:name="_GoBack"/>
            <w:bookmarkEnd w:id="0"/>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38" w:hRule="atLeast"/>
          <w:jc w:val="center"/>
        </w:trPr>
        <w:tc>
          <w:tcPr>
            <w:tcW w:w="1080" w:type="dxa"/>
            <w:vAlign w:val="center"/>
          </w:tcPr>
          <w:p>
            <w:pPr>
              <w:jc w:val="center"/>
              <w:rPr>
                <w:color w:val="000000"/>
                <w:szCs w:val="20"/>
              </w:rPr>
            </w:pPr>
            <w:r>
              <w:rPr>
                <w:rFonts w:hint="eastAsia"/>
                <w:color w:val="000000"/>
                <w:szCs w:val="20"/>
              </w:rPr>
              <w:t>声</w:t>
            </w:r>
          </w:p>
          <w:p>
            <w:pPr>
              <w:jc w:val="center"/>
              <w:rPr>
                <w:color w:val="000000"/>
              </w:rPr>
            </w:pPr>
            <w:r>
              <w:rPr>
                <w:rFonts w:hint="eastAsia"/>
                <w:color w:val="000000"/>
              </w:rPr>
              <w:t>明</w:t>
            </w:r>
          </w:p>
        </w:tc>
        <w:tc>
          <w:tcPr>
            <w:tcW w:w="8011" w:type="dxa"/>
            <w:gridSpan w:val="4"/>
          </w:tcPr>
          <w:p>
            <w:pPr>
              <w:spacing w:line="400" w:lineRule="exact"/>
              <w:ind w:firstLine="420" w:firstLineChars="200"/>
              <w:rPr>
                <w:color w:val="000000"/>
              </w:rPr>
            </w:pPr>
            <w:r>
              <w:rPr>
                <w:rFonts w:hint="eastAsia"/>
                <w:color w:val="000000"/>
              </w:rPr>
              <w:t>本单位遵守《内蒙古自治区科学技术奖励办法》及其实施细则的有关规定和内蒙古自治区科学技术奖提名工作的具体要求，对提名书内容及全部附件材料进行了严格审查，确认该项目符合内蒙古自治区科学技术奖提名资格条件。</w:t>
            </w:r>
          </w:p>
          <w:p>
            <w:pPr>
              <w:spacing w:line="400" w:lineRule="exact"/>
              <w:ind w:firstLine="420" w:firstLineChars="200"/>
              <w:rPr>
                <w:color w:val="000000"/>
              </w:rPr>
            </w:pPr>
            <w:r>
              <w:rPr>
                <w:rFonts w:hint="eastAsia"/>
                <w:color w:val="000000"/>
              </w:rPr>
              <w:t>本单位承诺，如有材料虚假、科研失信、违规违纪等行为，愿意承担相应责任。如产生争议，将负责核实查证并出具调查核实意见。</w:t>
            </w:r>
          </w:p>
          <w:p>
            <w:pPr>
              <w:rPr>
                <w:rFonts w:ascii="仿宋_GB2312" w:hAnsi="仿宋_GB2312" w:cs="Times New Roman"/>
                <w:color w:val="000000"/>
                <w:szCs w:val="21"/>
              </w:rPr>
            </w:pPr>
          </w:p>
          <w:p>
            <w:pPr>
              <w:rPr>
                <w:rFonts w:ascii="仿宋_GB2312" w:hAnsi="仿宋_GB2312" w:cs="Times New Roman"/>
                <w:color w:val="000000"/>
                <w:szCs w:val="21"/>
              </w:rPr>
            </w:pPr>
          </w:p>
          <w:p>
            <w:pPr>
              <w:rPr>
                <w:rFonts w:ascii="仿宋_GB2312" w:hAnsi="仿宋_GB2312" w:cs="Times New Roman"/>
                <w:color w:val="000000"/>
                <w:szCs w:val="21"/>
              </w:rPr>
            </w:pPr>
          </w:p>
          <w:p>
            <w:pPr>
              <w:rPr>
                <w:rFonts w:ascii="仿宋_GB2312" w:hAnsi="仿宋_GB2312" w:cs="Times New Roman"/>
                <w:color w:val="000000"/>
                <w:szCs w:val="21"/>
              </w:rPr>
            </w:pPr>
            <w:r>
              <w:rPr>
                <w:rFonts w:hint="eastAsia" w:ascii="仿宋_GB2312" w:hAnsi="仿宋_GB2312" w:cs="Times New Roman"/>
                <w:color w:val="000000"/>
                <w:szCs w:val="21"/>
              </w:rPr>
              <w:t xml:space="preserve">                                        提名单位公章</w:t>
            </w:r>
          </w:p>
          <w:p>
            <w:pPr>
              <w:rPr>
                <w:rFonts w:ascii="仿宋_GB2312" w:hAnsi="仿宋_GB2312" w:cs="Times New Roman"/>
                <w:color w:val="000000"/>
                <w:szCs w:val="21"/>
              </w:rPr>
            </w:pPr>
          </w:p>
          <w:p>
            <w:pPr>
              <w:rPr>
                <w:color w:val="000000"/>
              </w:rPr>
            </w:pPr>
            <w:r>
              <w:rPr>
                <w:rFonts w:hint="eastAsia" w:ascii="仿宋_GB2312" w:hAnsi="仿宋_GB2312" w:cs="Times New Roman"/>
                <w:color w:val="000000"/>
                <w:szCs w:val="21"/>
              </w:rPr>
              <w:t xml:space="preserve">                                                        年   月   日</w:t>
            </w:r>
          </w:p>
        </w:tc>
      </w:tr>
    </w:tbl>
    <w:p/>
    <w:sectPr>
      <w:pgSz w:w="11906" w:h="16838"/>
      <w:pgMar w:top="1440" w:right="1800" w:bottom="1440" w:left="1800" w:header="851" w:footer="992" w:gutter="0"/>
      <w:cols w:space="708"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86"/>
    <w:family w:val="auto"/>
    <w:pitch w:val="default"/>
    <w:sig w:usb0="00000000" w:usb1="00000000" w:usb2="00000016" w:usb3="00000000" w:csb0="0004000F" w:csb1="00000000"/>
  </w:font>
  <w:font w:name="仿宋_GB2312">
    <w:altName w:val="方正仿宋_GBK"/>
    <w:panose1 w:val="02010609030101010101"/>
    <w:charset w:val="86"/>
    <w:family w:val="auto"/>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00"/>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jI4YjNmZTdmMTFlZGViNjE0YmViZWMxNTRkM2NmZDAifQ=="/>
  </w:docVars>
  <w:rsids>
    <w:rsidRoot w:val="00874918"/>
    <w:rsid w:val="00057726"/>
    <w:rsid w:val="00085557"/>
    <w:rsid w:val="000F5BF4"/>
    <w:rsid w:val="00152D85"/>
    <w:rsid w:val="001E4233"/>
    <w:rsid w:val="00874918"/>
    <w:rsid w:val="00AD0487"/>
    <w:rsid w:val="00D13948"/>
    <w:rsid w:val="00D45AF2"/>
    <w:rsid w:val="262C5902"/>
    <w:rsid w:val="4FA4287A"/>
    <w:rsid w:val="5913159F"/>
    <w:rsid w:val="5D5E6A84"/>
    <w:rsid w:val="5EAE55F2"/>
    <w:rsid w:val="63210B28"/>
    <w:rsid w:val="69CC5DA5"/>
    <w:rsid w:val="77FFC32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Plain Text"/>
    <w:basedOn w:val="1"/>
    <w:qFormat/>
    <w:uiPriority w:val="0"/>
    <w:pPr>
      <w:spacing w:line="360" w:lineRule="auto"/>
      <w:ind w:firstLine="480" w:firstLineChars="200"/>
    </w:pPr>
    <w:rPr>
      <w:rFonts w:ascii="仿宋_GB2312" w:hAnsi="Times New Roman" w:eastAsia="宋体" w:cs="Times New Roman"/>
      <w:sz w:val="24"/>
      <w:szCs w:val="20"/>
    </w:rPr>
  </w:style>
  <w:style w:type="paragraph" w:styleId="3">
    <w:name w:val="footer"/>
    <w:basedOn w:val="1"/>
    <w:link w:val="7"/>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脚 字符"/>
    <w:link w:val="3"/>
    <w:qFormat/>
    <w:uiPriority w:val="99"/>
    <w:rPr>
      <w:rFonts w:ascii="Times New Roman" w:hAnsi="Times New Roman" w:eastAsia="宋体"/>
      <w:kern w:val="2"/>
      <w:sz w:val="18"/>
      <w:szCs w:val="18"/>
    </w:rPr>
  </w:style>
  <w:style w:type="character" w:customStyle="1" w:styleId="8">
    <w:name w:val="页眉 字符"/>
    <w:link w:val="4"/>
    <w:qFormat/>
    <w:uiPriority w:val="99"/>
    <w:rPr>
      <w:rFonts w:ascii="Times New Roman" w:hAnsi="Times New Roman" w:eastAsia="宋体"/>
      <w:kern w:val="2"/>
      <w:sz w:val="18"/>
      <w:szCs w:val="18"/>
    </w:rPr>
  </w:style>
  <w:style w:type="paragraph" w:customStyle="1" w:styleId="9">
    <w:name w:val="表格文字"/>
    <w:basedOn w:val="2"/>
    <w:qFormat/>
    <w:uiPriority w:val="0"/>
    <w:pPr>
      <w:spacing w:line="390" w:lineRule="exact"/>
      <w:ind w:firstLine="0" w:firstLineChars="0"/>
      <w:jc w:val="center"/>
    </w:pPr>
    <w:rPr>
      <w:rFonts w:hAnsi="仿宋_GB2312" w:eastAsia="仿宋_GB2312"/>
      <w:sz w:val="21"/>
    </w:rPr>
  </w:style>
  <w:style w:type="paragraph" w:customStyle="1" w:styleId="10">
    <w:name w:val="_Style 8"/>
    <w:basedOn w:val="1"/>
    <w:next w:val="1"/>
    <w:qFormat/>
    <w:uiPriority w:val="0"/>
    <w:pPr>
      <w:spacing w:line="360" w:lineRule="auto"/>
      <w:ind w:firstLine="480" w:firstLineChars="200"/>
    </w:pPr>
    <w:rPr>
      <w:rFonts w:ascii="仿宋_GB2312"/>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247</Words>
  <Characters>581</Characters>
  <Lines>4</Lines>
  <Paragraphs>1</Paragraphs>
  <TotalTime>1</TotalTime>
  <ScaleCrop>false</ScaleCrop>
  <LinksUpToDate>false</LinksUpToDate>
  <CharactersWithSpaces>684</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2022-09-20T14:59:00Z</dcterms:created>
  <dc:creator>gyliug</dc:creator>
  <cp:lastModifiedBy>kjj</cp:lastModifiedBy>
  <cp:lastPrinted>2026-09-04T12:28:49Z</cp:lastPrinted>
  <dcterms:modified xsi:type="dcterms:W3CDTF">2026-09-04T12:30:39Z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F451AD7CEE7C4E6FA2A92EB3291B8C78_12</vt:lpwstr>
  </property>
  <property fmtid="{D5CDD505-2E9C-101B-9397-08002B2CF9AE}" pid="3" name="KSOProductBuildVer">
    <vt:lpwstr>2052-11.8.2.10125</vt:lpwstr>
  </property>
</Properties>
</file>