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909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80"/>
        <w:gridCol w:w="22"/>
        <w:gridCol w:w="4691"/>
        <w:gridCol w:w="1260"/>
        <w:gridCol w:w="203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102" w:type="dxa"/>
            <w:gridSpan w:val="2"/>
            <w:vAlign w:val="center"/>
          </w:tcPr>
          <w:p>
            <w:pPr>
              <w:jc w:val="center"/>
              <w:rPr>
                <w:rFonts w:hint="eastAsia"/>
                <w:color w:val="000000"/>
              </w:rPr>
            </w:pPr>
            <w:r>
              <w:rPr>
                <w:rFonts w:hint="eastAsia"/>
                <w:color w:val="000000"/>
              </w:rPr>
              <w:t>提名单位</w:t>
            </w:r>
          </w:p>
        </w:tc>
        <w:tc>
          <w:tcPr>
            <w:tcW w:w="7989" w:type="dxa"/>
            <w:gridSpan w:val="3"/>
            <w:vAlign w:val="center"/>
          </w:tcPr>
          <w:p>
            <w:pPr>
              <w:jc w:val="center"/>
              <w:rPr>
                <w:rFonts w:hint="default"/>
                <w:color w:val="000000"/>
                <w:lang w:val="en-US"/>
              </w:rPr>
            </w:pPr>
            <w:r>
              <w:rPr>
                <w:rFonts w:hint="default"/>
                <w:color w:val="000000"/>
                <w:lang w:val="en-US"/>
              </w:rPr>
              <w:t>赤峰市科学技术局</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102" w:type="dxa"/>
            <w:gridSpan w:val="2"/>
            <w:vAlign w:val="center"/>
          </w:tcPr>
          <w:p>
            <w:pPr>
              <w:jc w:val="center"/>
              <w:rPr>
                <w:color w:val="000000"/>
              </w:rPr>
            </w:pPr>
            <w:r>
              <w:rPr>
                <w:rFonts w:hint="eastAsia"/>
                <w:color w:val="000000"/>
              </w:rPr>
              <w:t>联系人</w:t>
            </w:r>
          </w:p>
        </w:tc>
        <w:tc>
          <w:tcPr>
            <w:tcW w:w="4691" w:type="dxa"/>
            <w:vAlign w:val="center"/>
          </w:tcPr>
          <w:p>
            <w:pPr>
              <w:jc w:val="center"/>
              <w:rPr>
                <w:rFonts w:hint="default"/>
                <w:color w:val="000000"/>
                <w:lang w:val="en-US"/>
              </w:rPr>
            </w:pPr>
            <w:r>
              <w:rPr>
                <w:rFonts w:hint="default"/>
                <w:color w:val="000000"/>
                <w:lang w:val="en-US"/>
              </w:rPr>
              <w:t>隋礼江</w:t>
            </w:r>
          </w:p>
        </w:tc>
        <w:tc>
          <w:tcPr>
            <w:tcW w:w="1260" w:type="dxa"/>
            <w:vAlign w:val="center"/>
          </w:tcPr>
          <w:p>
            <w:pPr>
              <w:jc w:val="center"/>
              <w:rPr>
                <w:color w:val="000000"/>
              </w:rPr>
            </w:pPr>
            <w:r>
              <w:rPr>
                <w:rFonts w:hint="eastAsia"/>
                <w:color w:val="000000"/>
              </w:rPr>
              <w:t>联系电话</w:t>
            </w:r>
          </w:p>
        </w:tc>
        <w:tc>
          <w:tcPr>
            <w:tcW w:w="2038" w:type="dxa"/>
            <w:vAlign w:val="center"/>
          </w:tcPr>
          <w:p>
            <w:pPr>
              <w:jc w:val="center"/>
              <w:rPr>
                <w:rFonts w:hint="default"/>
                <w:color w:val="000000"/>
                <w:lang w:val="en-US"/>
              </w:rPr>
            </w:pPr>
            <w:r>
              <w:rPr>
                <w:rFonts w:hint="default"/>
                <w:color w:val="000000"/>
                <w:lang w:val="en-US"/>
              </w:rPr>
              <w:t>0476-2788837</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102" w:type="dxa"/>
            <w:gridSpan w:val="2"/>
            <w:vAlign w:val="center"/>
          </w:tcPr>
          <w:p>
            <w:pPr>
              <w:jc w:val="center"/>
              <w:rPr>
                <w:color w:val="000000"/>
              </w:rPr>
            </w:pPr>
            <w:r>
              <w:rPr>
                <w:rFonts w:hint="eastAsia"/>
                <w:color w:val="000000"/>
              </w:rPr>
              <w:t>电子邮箱</w:t>
            </w:r>
          </w:p>
        </w:tc>
        <w:tc>
          <w:tcPr>
            <w:tcW w:w="4691" w:type="dxa"/>
            <w:vAlign w:val="center"/>
          </w:tcPr>
          <w:p>
            <w:pPr>
              <w:jc w:val="center"/>
              <w:rPr>
                <w:rFonts w:hint="default"/>
                <w:color w:val="000000"/>
                <w:lang w:val="en-US"/>
              </w:rPr>
            </w:pPr>
            <w:r>
              <w:rPr>
                <w:rFonts w:hint="default"/>
                <w:color w:val="000000"/>
                <w:lang w:val="en-US"/>
              </w:rPr>
              <w:t>cfcgzx@163.com</w:t>
            </w:r>
          </w:p>
        </w:tc>
        <w:tc>
          <w:tcPr>
            <w:tcW w:w="1260" w:type="dxa"/>
            <w:vAlign w:val="center"/>
          </w:tcPr>
          <w:p>
            <w:pPr>
              <w:jc w:val="center"/>
              <w:rPr>
                <w:color w:val="000000"/>
              </w:rPr>
            </w:pPr>
            <w:r>
              <w:rPr>
                <w:rFonts w:hint="eastAsia"/>
                <w:color w:val="000000"/>
              </w:rPr>
              <w:t>传真</w:t>
            </w:r>
          </w:p>
        </w:tc>
        <w:tc>
          <w:tcPr>
            <w:tcW w:w="2038" w:type="dxa"/>
            <w:vAlign w:val="center"/>
          </w:tcPr>
          <w:p>
            <w:pPr>
              <w:jc w:val="center"/>
              <w:rPr>
                <w:rFonts w:hint="default"/>
                <w:color w:val="000000"/>
                <w:lang w:val="en-US"/>
              </w:rPr>
            </w:pPr>
            <w:r>
              <w:rPr>
                <w:rFonts w:hint="default"/>
                <w:color w:val="000000"/>
                <w:lang w:val="en-US"/>
              </w:rPr>
              <w:t>0476-2788852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49" w:hRule="atLeast"/>
          <w:jc w:val="center"/>
        </w:trPr>
        <w:tc>
          <w:tcPr>
            <w:tcW w:w="9091" w:type="dxa"/>
            <w:gridSpan w:val="5"/>
          </w:tcPr>
          <w:p>
            <w:pPr>
              <w:rPr>
                <w:rFonts w:ascii="宋体" w:hAnsi="宋体"/>
              </w:rPr>
            </w:pPr>
            <w:r>
              <w:rPr>
                <w:rFonts w:hint="eastAsia"/>
                <w:color w:val="000000"/>
                <w:szCs w:val="21"/>
              </w:rPr>
              <w:t>提名意见：</w:t>
            </w:r>
            <w:r>
              <w:rPr>
                <w:rFonts w:ascii="宋体" w:hAnsi="宋体"/>
              </w:rPr>
              <w:t xml:space="preserve"> </w:t>
            </w:r>
          </w:p>
          <w:p>
            <w:pPr>
              <w:ind w:firstLine="420" w:firstLineChars="200"/>
              <w:jc w:val="left"/>
              <w:rPr>
                <w:rFonts w:hint="eastAsia"/>
                <w:kern w:val="0"/>
                <w:szCs w:val="20"/>
              </w:rPr>
            </w:pPr>
            <w:r>
              <w:rPr>
                <w:rFonts w:hint="eastAsia"/>
                <w:kern w:val="0"/>
                <w:szCs w:val="20"/>
              </w:rPr>
              <w:t>该项目针对复杂厚大金属矿床崩落转充填隔离矿柱留设位置及厚度、深部矿体充填开采模式选择、深部采场整体稳定性监测与调控等诸多瓶颈问题，通过产学研校企协同创新，共同研发了“复杂金属矿床大规模安全绿色充填开采理论与关键技术”，是金属矿床大规模安全绿色充填开采领域的重大完全自主技术创新，突破了复杂金属矿体安全绿色高效回收的技术难题，形成了一整套针对复杂金属矿体的安全高效回收技术，对国内外地下金属矿山安全高效开采具有重要示范作用。</w:t>
            </w:r>
          </w:p>
          <w:p>
            <w:pPr>
              <w:ind w:firstLine="420" w:firstLineChars="200"/>
              <w:jc w:val="left"/>
              <w:rPr>
                <w:rFonts w:hint="eastAsia"/>
                <w:kern w:val="0"/>
                <w:szCs w:val="20"/>
              </w:rPr>
            </w:pPr>
            <w:r>
              <w:rPr>
                <w:rFonts w:hint="eastAsia"/>
                <w:kern w:val="0"/>
                <w:szCs w:val="20"/>
              </w:rPr>
              <w:t>项目研究成果已在赤峰山金红岭有色矿业有限责任公司、赤峰柴胡栏子黄金矿业有限公司等矿山企业得到了整体应用，并已推广应用至多家矿山。与国内同类领先技术相比，采场生产能力提高1倍，贫化率降低17.1%，损失率降低13.6%，实现新增销售额26.9亿元、利润9.2亿元，经济效益巨大。</w:t>
            </w:r>
          </w:p>
          <w:p>
            <w:pPr>
              <w:ind w:firstLine="420" w:firstLineChars="200"/>
              <w:jc w:val="left"/>
              <w:rPr>
                <w:rFonts w:hint="eastAsia"/>
                <w:kern w:val="0"/>
                <w:szCs w:val="20"/>
              </w:rPr>
            </w:pPr>
            <w:r>
              <w:rPr>
                <w:rFonts w:hint="eastAsia"/>
                <w:kern w:val="0"/>
                <w:szCs w:val="20"/>
              </w:rPr>
              <w:t>经中国工程院院士专家组进行科学技术成果评价，本项目成果有重大技术创新，整体技术处于国际领先水平。</w:t>
            </w:r>
          </w:p>
          <w:p>
            <w:pPr>
              <w:ind w:firstLine="420" w:firstLineChars="200"/>
              <w:jc w:val="left"/>
              <w:rPr>
                <w:rFonts w:hint="eastAsia"/>
                <w:kern w:val="0"/>
                <w:szCs w:val="20"/>
              </w:rPr>
            </w:pPr>
          </w:p>
          <w:p>
            <w:pPr>
              <w:ind w:firstLine="420" w:firstLineChars="200"/>
              <w:jc w:val="left"/>
              <w:rPr>
                <w:rFonts w:hint="eastAsia"/>
                <w:kern w:val="0"/>
                <w:szCs w:val="20"/>
              </w:rPr>
            </w:pPr>
            <w:bookmarkStart w:id="0" w:name="_GoBack"/>
            <w:bookmarkEnd w:id="0"/>
            <w:r>
              <w:rPr>
                <w:rFonts w:hint="eastAsia"/>
                <w:kern w:val="0"/>
                <w:szCs w:val="20"/>
              </w:rPr>
              <w:t>提名该项目为内蒙古自治区科学技术进步奖一</w:t>
            </w:r>
            <w:r>
              <w:rPr>
                <w:rFonts w:hint="eastAsia"/>
                <w:kern w:val="0"/>
                <w:szCs w:val="20"/>
                <w:lang w:eastAsia="zh-CN"/>
              </w:rPr>
              <w:t>等奖或二等</w:t>
            </w:r>
            <w:r>
              <w:rPr>
                <w:rFonts w:hint="eastAsia"/>
                <w:kern w:val="0"/>
                <w:szCs w:val="20"/>
              </w:rPr>
              <w:t>奖。</w:t>
            </w:r>
          </w:p>
          <w:p>
            <w:pPr>
              <w:ind w:firstLine="420" w:firstLineChars="200"/>
              <w:jc w:val="left"/>
              <w:rPr>
                <w:rFonts w:hint="eastAsia"/>
                <w:kern w:val="0"/>
                <w:szCs w:val="20"/>
              </w:rPr>
            </w:pPr>
            <w:r>
              <w:rPr>
                <w:rFonts w:hint="eastAsia"/>
                <w:kern w:val="0"/>
                <w:szCs w:val="20"/>
              </w:rPr>
              <w:t>该项目已征求了朱万成（东北大学、矿业工程）、杨胜利（中国矿业大学（北京）、矿业工程）、李地元（中南大学、矿业工程）等3名专家意见。</w:t>
            </w:r>
          </w:p>
          <w:p>
            <w:pPr>
              <w:ind w:firstLine="420" w:firstLineChars="200"/>
              <w:jc w:val="left"/>
              <w:rPr>
                <w:rFonts w:hint="eastAsia"/>
                <w:kern w:val="0"/>
                <w:szCs w:val="20"/>
              </w:rPr>
            </w:pPr>
            <w:r>
              <w:rPr>
                <w:rFonts w:hint="eastAsia"/>
                <w:kern w:val="0"/>
                <w:szCs w:val="20"/>
              </w:rPr>
              <w:t>本单位已于</w:t>
            </w:r>
            <w:r>
              <w:rPr>
                <w:rFonts w:hint="eastAsia"/>
                <w:kern w:val="0"/>
                <w:szCs w:val="20"/>
                <w:lang w:val="en-US" w:eastAsia="zh-CN"/>
              </w:rPr>
              <w:t>2026</w:t>
            </w:r>
            <w:r>
              <w:rPr>
                <w:rFonts w:hint="eastAsia"/>
                <w:kern w:val="0"/>
                <w:szCs w:val="20"/>
              </w:rPr>
              <w:t>年</w:t>
            </w:r>
            <w:r>
              <w:rPr>
                <w:rFonts w:hint="eastAsia"/>
                <w:kern w:val="0"/>
                <w:szCs w:val="20"/>
                <w:lang w:val="en-US" w:eastAsia="zh-CN"/>
              </w:rPr>
              <w:t>9</w:t>
            </w:r>
            <w:r>
              <w:rPr>
                <w:rFonts w:hint="eastAsia"/>
                <w:kern w:val="0"/>
                <w:szCs w:val="20"/>
              </w:rPr>
              <w:t>月</w:t>
            </w:r>
            <w:r>
              <w:rPr>
                <w:rFonts w:hint="eastAsia"/>
                <w:kern w:val="0"/>
                <w:szCs w:val="20"/>
                <w:lang w:val="en-US" w:eastAsia="zh-CN"/>
              </w:rPr>
              <w:t>4</w:t>
            </w:r>
            <w:r>
              <w:rPr>
                <w:rFonts w:hint="eastAsia"/>
                <w:kern w:val="0"/>
                <w:szCs w:val="20"/>
              </w:rPr>
              <w:t>日通过</w:t>
            </w:r>
            <w:r>
              <w:rPr>
                <w:rFonts w:hint="eastAsia"/>
                <w:kern w:val="0"/>
                <w:szCs w:val="20"/>
                <w:lang w:eastAsia="zh-CN"/>
              </w:rPr>
              <w:t>赤峰市科学技术局官网</w:t>
            </w:r>
            <w:r>
              <w:rPr>
                <w:rFonts w:hint="eastAsia"/>
                <w:kern w:val="0"/>
                <w:szCs w:val="20"/>
              </w:rPr>
              <w:t>方式对该项目的有关内容进行了公示。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38" w:hRule="atLeast"/>
          <w:jc w:val="center"/>
        </w:trPr>
        <w:tc>
          <w:tcPr>
            <w:tcW w:w="1080" w:type="dxa"/>
            <w:vAlign w:val="center"/>
          </w:tcPr>
          <w:p>
            <w:pPr>
              <w:jc w:val="center"/>
              <w:rPr>
                <w:color w:val="000000"/>
                <w:szCs w:val="20"/>
              </w:rPr>
            </w:pPr>
            <w:r>
              <w:rPr>
                <w:rFonts w:hint="eastAsia"/>
                <w:color w:val="000000"/>
                <w:szCs w:val="20"/>
              </w:rPr>
              <w:t>声</w:t>
            </w:r>
          </w:p>
          <w:p>
            <w:pPr>
              <w:jc w:val="center"/>
              <w:rPr>
                <w:color w:val="000000"/>
              </w:rPr>
            </w:pPr>
            <w:r>
              <w:rPr>
                <w:rFonts w:hint="eastAsia"/>
                <w:color w:val="000000"/>
              </w:rPr>
              <w:t>明</w:t>
            </w:r>
          </w:p>
        </w:tc>
        <w:tc>
          <w:tcPr>
            <w:tcW w:w="8011" w:type="dxa"/>
            <w:gridSpan w:val="4"/>
          </w:tcPr>
          <w:p>
            <w:pPr>
              <w:spacing w:line="400" w:lineRule="exact"/>
              <w:ind w:firstLine="420" w:firstLineChars="200"/>
              <w:rPr>
                <w:color w:val="000000"/>
              </w:rPr>
            </w:pPr>
            <w:r>
              <w:rPr>
                <w:rFonts w:hint="eastAsia"/>
                <w:color w:val="000000"/>
              </w:rPr>
              <w:t>本单位遵守《内蒙古自治区科学技术奖励办法》及其实施细则的有关规定和内蒙古自治区科学技术奖提名工作的具体要求，对提名书内容及全部附件材料进行了严格审查，确认该项目符合内蒙古自治区科学技术奖提名资格条件。</w:t>
            </w:r>
          </w:p>
          <w:p>
            <w:pPr>
              <w:spacing w:line="400" w:lineRule="exact"/>
              <w:ind w:firstLine="420" w:firstLineChars="200"/>
              <w:rPr>
                <w:color w:val="000000"/>
              </w:rPr>
            </w:pPr>
            <w:r>
              <w:rPr>
                <w:rFonts w:hint="eastAsia"/>
                <w:color w:val="000000"/>
              </w:rPr>
              <w:t>本单位承诺，如有材料虚假、科研失信、违规违纪等行为，愿意承担相应责任。如产生争议，将负责核实查证并出具调查核实意见。</w:t>
            </w:r>
          </w:p>
          <w:p>
            <w:pPr>
              <w:rPr>
                <w:rFonts w:ascii="仿宋_GB2312" w:hAnsi="仿宋_GB2312" w:cs="Times New Roman"/>
                <w:color w:val="000000"/>
                <w:szCs w:val="21"/>
              </w:rPr>
            </w:pPr>
          </w:p>
          <w:p>
            <w:pPr>
              <w:rPr>
                <w:rFonts w:ascii="仿宋_GB2312" w:hAnsi="仿宋_GB2312" w:cs="Times New Roman"/>
                <w:color w:val="000000"/>
                <w:szCs w:val="21"/>
              </w:rPr>
            </w:pPr>
          </w:p>
          <w:p>
            <w:pPr>
              <w:rPr>
                <w:rFonts w:ascii="仿宋_GB2312" w:hAnsi="仿宋_GB2312" w:cs="Times New Roman"/>
                <w:color w:val="000000"/>
                <w:szCs w:val="21"/>
              </w:rPr>
            </w:pPr>
          </w:p>
          <w:p>
            <w:pPr>
              <w:rPr>
                <w:rFonts w:ascii="仿宋_GB2312" w:hAnsi="仿宋_GB2312" w:cs="Times New Roman"/>
                <w:color w:val="000000"/>
                <w:szCs w:val="21"/>
              </w:rPr>
            </w:pPr>
            <w:r>
              <w:rPr>
                <w:rFonts w:hint="eastAsia" w:ascii="仿宋_GB2312" w:hAnsi="仿宋_GB2312" w:cs="Times New Roman"/>
                <w:color w:val="000000"/>
                <w:szCs w:val="21"/>
              </w:rPr>
              <w:t xml:space="preserve">                                        提名单位公章</w:t>
            </w:r>
          </w:p>
          <w:p>
            <w:pPr>
              <w:rPr>
                <w:rFonts w:ascii="仿宋_GB2312" w:hAnsi="仿宋_GB2312" w:cs="Times New Roman"/>
                <w:color w:val="000000"/>
                <w:szCs w:val="21"/>
              </w:rPr>
            </w:pPr>
          </w:p>
          <w:p>
            <w:pPr>
              <w:rPr>
                <w:color w:val="000000"/>
              </w:rPr>
            </w:pPr>
            <w:r>
              <w:rPr>
                <w:rFonts w:hint="eastAsia" w:ascii="仿宋_GB2312" w:hAnsi="仿宋_GB2312" w:cs="Times New Roman"/>
                <w:color w:val="000000"/>
                <w:szCs w:val="21"/>
              </w:rPr>
              <w:t xml:space="preserve">                                                        年   月   日</w:t>
            </w:r>
          </w:p>
        </w:tc>
      </w:tr>
    </w:tbl>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swiss"/>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00"/>
    <w:family w:val="auto"/>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hyphenationZone w:val="36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JmOGViNWYxZDNlZTU2NjE4MzVhN2I1MzI5ZjM3NDgifQ=="/>
    <w:docVar w:name="KSO_WPS_MARK_KEY" w:val="528f0a4b-dcd3-40c0-9cc4-db27954ca8d5"/>
  </w:docVars>
  <w:rsids>
    <w:rsidRoot w:val="00000000"/>
    <w:rsid w:val="02286B1D"/>
    <w:rsid w:val="077C4233"/>
    <w:rsid w:val="0EAA9832"/>
    <w:rsid w:val="12BF0DF0"/>
    <w:rsid w:val="1DEE2B33"/>
    <w:rsid w:val="21845481"/>
    <w:rsid w:val="2D5C29FD"/>
    <w:rsid w:val="30A40444"/>
    <w:rsid w:val="34E708E9"/>
    <w:rsid w:val="358E5CA2"/>
    <w:rsid w:val="37F5E5DA"/>
    <w:rsid w:val="3ABCE902"/>
    <w:rsid w:val="3FA9A906"/>
    <w:rsid w:val="489B4843"/>
    <w:rsid w:val="4A4C5726"/>
    <w:rsid w:val="4D8D56BD"/>
    <w:rsid w:val="55F16D1A"/>
    <w:rsid w:val="5F777D79"/>
    <w:rsid w:val="69D924A6"/>
    <w:rsid w:val="6A9E7C87"/>
    <w:rsid w:val="70DF2348"/>
    <w:rsid w:val="75741164"/>
    <w:rsid w:val="78A43B93"/>
    <w:rsid w:val="7DBF35F9"/>
    <w:rsid w:val="7F7F057B"/>
    <w:rsid w:val="8F7D243E"/>
    <w:rsid w:val="A7FD8B3A"/>
    <w:rsid w:val="AF3F22FD"/>
    <w:rsid w:val="B37F8C27"/>
    <w:rsid w:val="B96F60C7"/>
    <w:rsid w:val="DFFFA85C"/>
    <w:rsid w:val="FBED5C1C"/>
    <w:rsid w:val="FBFE6999"/>
    <w:rsid w:val="FEBF4856"/>
    <w:rsid w:val="FFDEFFE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pPr>
      <w:spacing w:line="360" w:lineRule="auto"/>
      <w:ind w:firstLine="480" w:firstLineChars="200"/>
    </w:pPr>
    <w:rPr>
      <w:rFonts w:ascii="仿宋_GB2312" w:hAnsi="Times New Roman" w:eastAsia="宋体" w:cs="Times New Roman"/>
      <w:sz w:val="24"/>
      <w:szCs w:val="20"/>
    </w:rPr>
  </w:style>
  <w:style w:type="paragraph" w:styleId="3">
    <w:name w:val="footer"/>
    <w:basedOn w:val="1"/>
    <w:unhideWhenUsed/>
    <w:qFormat/>
    <w:uiPriority w:val="0"/>
    <w:pPr>
      <w:tabs>
        <w:tab w:val="center" w:pos="4153"/>
        <w:tab w:val="right" w:pos="8306"/>
      </w:tabs>
      <w:snapToGrid w:val="0"/>
      <w:jc w:val="left"/>
    </w:pPr>
    <w:rPr>
      <w:sz w:val="18"/>
      <w:szCs w:val="18"/>
    </w:rPr>
  </w:style>
  <w:style w:type="paragraph" w:styleId="4">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index 1"/>
    <w:basedOn w:val="1"/>
    <w:next w:val="1"/>
    <w:semiHidden/>
    <w:qFormat/>
    <w:uiPriority w:val="0"/>
    <w:pPr>
      <w:widowControl/>
      <w:snapToGrid w:val="0"/>
    </w:pPr>
  </w:style>
  <w:style w:type="paragraph" w:customStyle="1" w:styleId="8">
    <w:name w:val="_Style 8"/>
    <w:basedOn w:val="1"/>
    <w:next w:val="1"/>
    <w:qFormat/>
    <w:uiPriority w:val="0"/>
    <w:pPr>
      <w:spacing w:line="360" w:lineRule="auto"/>
      <w:ind w:firstLine="480" w:firstLineChars="200"/>
    </w:pPr>
    <w:rPr>
      <w:rFonts w:ascii="仿宋_GB2312"/>
      <w:sz w:val="24"/>
    </w:rPr>
  </w:style>
  <w:style w:type="paragraph" w:customStyle="1" w:styleId="9">
    <w:name w:val="表格文字"/>
    <w:basedOn w:val="2"/>
    <w:qFormat/>
    <w:uiPriority w:val="0"/>
    <w:pPr>
      <w:spacing w:line="390" w:lineRule="exact"/>
      <w:ind w:firstLine="0" w:firstLineChars="0"/>
      <w:jc w:val="center"/>
    </w:pPr>
    <w:rPr>
      <w:rFonts w:hAnsi="仿宋_GB2312" w:eastAsia="仿宋_GB2312"/>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771</Words>
  <Characters>821</Characters>
  <Lines>0</Lines>
  <Paragraphs>0</Paragraphs>
  <TotalTime>1</TotalTime>
  <ScaleCrop>false</ScaleCrop>
  <LinksUpToDate>false</LinksUpToDate>
  <CharactersWithSpaces>952</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2024-11-17T00:26:00Z</dcterms:created>
  <dc:creator>YF</dc:creator>
  <cp:lastModifiedBy>kjj</cp:lastModifiedBy>
  <dcterms:modified xsi:type="dcterms:W3CDTF">2026-09-04T13:17:39Z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EEE51FDAEA1B400DA0D7D7212F60BABE</vt:lpwstr>
  </property>
</Properties>
</file>