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909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80"/>
        <w:gridCol w:w="22"/>
        <w:gridCol w:w="4691"/>
        <w:gridCol w:w="1260"/>
        <w:gridCol w:w="203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02" w:type="dxa"/>
            <w:gridSpan w:val="2"/>
            <w:vAlign w:val="center"/>
          </w:tcPr>
          <w:p>
            <w:pPr>
              <w:jc w:val="center"/>
              <w:rPr>
                <w:rFonts w:hint="eastAsia"/>
                <w:color w:val="000000"/>
              </w:rPr>
            </w:pPr>
            <w:r>
              <w:rPr>
                <w:rFonts w:hint="eastAsia"/>
                <w:color w:val="000000"/>
              </w:rPr>
              <w:t>提名单位</w:t>
            </w:r>
          </w:p>
        </w:tc>
        <w:tc>
          <w:tcPr>
            <w:tcW w:w="7989" w:type="dxa"/>
            <w:gridSpan w:val="3"/>
            <w:vAlign w:val="center"/>
          </w:tcPr>
          <w:p>
            <w:pPr>
              <w:jc w:val="center"/>
              <w:rPr>
                <w:rFonts w:hint="default"/>
                <w:color w:val="000000"/>
                <w:lang w:val="en-US"/>
              </w:rPr>
            </w:pPr>
            <w:r>
              <w:rPr>
                <w:rFonts w:hint="default"/>
                <w:color w:val="000000"/>
                <w:lang w:val="en-US"/>
              </w:rPr>
              <w:t>赤峰市科学技术局</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02" w:type="dxa"/>
            <w:gridSpan w:val="2"/>
            <w:vAlign w:val="center"/>
          </w:tcPr>
          <w:p>
            <w:pPr>
              <w:jc w:val="center"/>
              <w:rPr>
                <w:color w:val="000000"/>
              </w:rPr>
            </w:pPr>
            <w:r>
              <w:rPr>
                <w:rFonts w:hint="eastAsia"/>
                <w:color w:val="000000"/>
              </w:rPr>
              <w:t>联系人</w:t>
            </w:r>
          </w:p>
        </w:tc>
        <w:tc>
          <w:tcPr>
            <w:tcW w:w="4691" w:type="dxa"/>
            <w:vAlign w:val="center"/>
          </w:tcPr>
          <w:p>
            <w:pPr>
              <w:jc w:val="center"/>
              <w:rPr>
                <w:rFonts w:hint="default"/>
                <w:color w:val="000000"/>
                <w:lang w:val="en-US"/>
              </w:rPr>
            </w:pPr>
            <w:r>
              <w:rPr>
                <w:rFonts w:hint="default"/>
                <w:color w:val="000000"/>
                <w:lang w:val="en-US"/>
              </w:rPr>
              <w:t>隋礼江</w:t>
            </w:r>
          </w:p>
        </w:tc>
        <w:tc>
          <w:tcPr>
            <w:tcW w:w="1260" w:type="dxa"/>
            <w:vAlign w:val="center"/>
          </w:tcPr>
          <w:p>
            <w:pPr>
              <w:jc w:val="center"/>
              <w:rPr>
                <w:color w:val="000000"/>
              </w:rPr>
            </w:pPr>
            <w:r>
              <w:rPr>
                <w:rFonts w:hint="eastAsia"/>
                <w:color w:val="000000"/>
              </w:rPr>
              <w:t>联系电话</w:t>
            </w:r>
          </w:p>
        </w:tc>
        <w:tc>
          <w:tcPr>
            <w:tcW w:w="2038" w:type="dxa"/>
            <w:vAlign w:val="center"/>
          </w:tcPr>
          <w:p>
            <w:pPr>
              <w:jc w:val="center"/>
              <w:rPr>
                <w:rFonts w:hint="default"/>
                <w:color w:val="000000"/>
                <w:lang w:val="en-US"/>
              </w:rPr>
            </w:pPr>
            <w:r>
              <w:rPr>
                <w:rFonts w:hint="default"/>
                <w:color w:val="000000"/>
                <w:lang w:val="en-US"/>
              </w:rPr>
              <w:t>0476-2788837</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02" w:type="dxa"/>
            <w:gridSpan w:val="2"/>
            <w:vAlign w:val="center"/>
          </w:tcPr>
          <w:p>
            <w:pPr>
              <w:jc w:val="center"/>
              <w:rPr>
                <w:color w:val="000000"/>
              </w:rPr>
            </w:pPr>
            <w:r>
              <w:rPr>
                <w:rFonts w:hint="eastAsia"/>
                <w:color w:val="000000"/>
              </w:rPr>
              <w:t>电子邮箱</w:t>
            </w:r>
          </w:p>
        </w:tc>
        <w:tc>
          <w:tcPr>
            <w:tcW w:w="4691" w:type="dxa"/>
            <w:vAlign w:val="center"/>
          </w:tcPr>
          <w:p>
            <w:pPr>
              <w:jc w:val="center"/>
              <w:rPr>
                <w:rFonts w:hint="default"/>
                <w:color w:val="000000"/>
                <w:lang w:val="en-US"/>
              </w:rPr>
            </w:pPr>
            <w:r>
              <w:rPr>
                <w:rFonts w:hint="default"/>
                <w:color w:val="000000"/>
                <w:lang w:val="en-US"/>
              </w:rPr>
              <w:t>cfcgzx@163.com</w:t>
            </w:r>
          </w:p>
        </w:tc>
        <w:tc>
          <w:tcPr>
            <w:tcW w:w="1260" w:type="dxa"/>
            <w:vAlign w:val="center"/>
          </w:tcPr>
          <w:p>
            <w:pPr>
              <w:jc w:val="center"/>
              <w:rPr>
                <w:color w:val="000000"/>
              </w:rPr>
            </w:pPr>
            <w:r>
              <w:rPr>
                <w:rFonts w:hint="eastAsia"/>
                <w:color w:val="000000"/>
              </w:rPr>
              <w:t>传真</w:t>
            </w:r>
          </w:p>
        </w:tc>
        <w:tc>
          <w:tcPr>
            <w:tcW w:w="2038" w:type="dxa"/>
            <w:vAlign w:val="center"/>
          </w:tcPr>
          <w:p>
            <w:pPr>
              <w:jc w:val="center"/>
              <w:rPr>
                <w:rFonts w:hint="default"/>
                <w:color w:val="000000"/>
                <w:lang w:val="en-US"/>
              </w:rPr>
            </w:pPr>
            <w:r>
              <w:rPr>
                <w:rFonts w:hint="default"/>
                <w:color w:val="000000"/>
                <w:lang w:val="en-US"/>
              </w:rPr>
              <w:t>0476-2788852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49" w:hRule="atLeast"/>
          <w:jc w:val="center"/>
        </w:trPr>
        <w:tc>
          <w:tcPr>
            <w:tcW w:w="9091" w:type="dxa"/>
            <w:gridSpan w:val="5"/>
          </w:tcPr>
          <w:p>
            <w:pPr>
              <w:rPr>
                <w:rFonts w:ascii="宋体" w:hAnsi="宋体"/>
              </w:rPr>
            </w:pPr>
            <w:r>
              <w:rPr>
                <w:rFonts w:hint="eastAsia"/>
                <w:color w:val="000000"/>
                <w:szCs w:val="21"/>
              </w:rPr>
              <w:t>提名意见：</w:t>
            </w:r>
            <w:bookmarkStart w:id="0" w:name="_GoBack"/>
            <w:bookmarkEnd w:id="0"/>
          </w:p>
          <w:p>
            <w:pPr>
              <w:ind w:firstLine="420" w:firstLineChars="200"/>
              <w:jc w:val="left"/>
              <w:rPr>
                <w:rFonts w:hint="eastAsia"/>
                <w:kern w:val="0"/>
                <w:szCs w:val="20"/>
              </w:rPr>
            </w:pPr>
            <w:r>
              <w:rPr>
                <w:rFonts w:hint="eastAsia"/>
                <w:kern w:val="0"/>
                <w:szCs w:val="20"/>
              </w:rPr>
              <w:t>“‘赤谷K系列’优质抗除草剂谷子新品种选育与推广应用”项目，针对北方传统主栽品种抗逆性弱、品质稳定性差、广适性不足等产业短板，依托国家谷子高粱产业技术体系，选育出赤谷K1、K2、K3系列新品种，构建了109-117天梯度熟期，覆盖2250-2550℃活动积温区的春谷良种体系，三个品种均获评国家一级优质米，是春谷区规模突出的“梯度熟期+优质”谷子改良群体。该系列品种被多家单位引育，衍生新品种多个，辐射带动显著。</w:t>
            </w:r>
          </w:p>
          <w:p>
            <w:pPr>
              <w:ind w:firstLine="420" w:firstLineChars="200"/>
              <w:jc w:val="left"/>
              <w:rPr>
                <w:rFonts w:hint="eastAsia"/>
                <w:kern w:val="0"/>
                <w:szCs w:val="20"/>
              </w:rPr>
            </w:pPr>
            <w:r>
              <w:rPr>
                <w:rFonts w:hint="eastAsia"/>
                <w:kern w:val="0"/>
                <w:szCs w:val="20"/>
              </w:rPr>
              <w:t>项目集成“差异化密植</w:t>
            </w:r>
            <w:r>
              <w:rPr>
                <w:rFonts w:hint="eastAsia"/>
                <w:kern w:val="0"/>
                <w:szCs w:val="20"/>
                <w:lang w:eastAsia="zh-CN"/>
              </w:rPr>
              <w:t>、</w:t>
            </w:r>
            <w:r>
              <w:rPr>
                <w:rFonts w:hint="eastAsia"/>
                <w:kern w:val="0"/>
                <w:szCs w:val="20"/>
              </w:rPr>
              <w:t>无膜浅埋滴灌</w:t>
            </w:r>
            <w:r>
              <w:rPr>
                <w:rFonts w:hint="eastAsia"/>
                <w:kern w:val="0"/>
                <w:szCs w:val="20"/>
                <w:lang w:eastAsia="zh-CN"/>
              </w:rPr>
              <w:t>、</w:t>
            </w:r>
            <w:r>
              <w:rPr>
                <w:rFonts w:hint="eastAsia"/>
                <w:kern w:val="0"/>
                <w:szCs w:val="20"/>
              </w:rPr>
              <w:t>病虫草害一体化绿色防控”栽培技术体系，</w:t>
            </w:r>
            <w:r>
              <w:rPr>
                <w:rFonts w:hint="eastAsia"/>
                <w:kern w:val="0"/>
                <w:szCs w:val="20"/>
                <w:lang w:val="en-US" w:eastAsia="zh-CN"/>
              </w:rPr>
              <w:t>并发布</w:t>
            </w:r>
            <w:r>
              <w:rPr>
                <w:rFonts w:hint="eastAsia"/>
                <w:kern w:val="0"/>
                <w:szCs w:val="20"/>
              </w:rPr>
              <w:t>地方标准，实现良种良法配套。优化推广模式，在内蒙古、河北、辽宁、吉林、山西五省区实现规模化应用。2019</w:t>
            </w:r>
            <w:r>
              <w:rPr>
                <w:rFonts w:hint="eastAsia"/>
                <w:kern w:val="0"/>
                <w:szCs w:val="20"/>
                <w:lang w:val="en-US" w:eastAsia="zh-CN"/>
              </w:rPr>
              <w:t>-</w:t>
            </w:r>
            <w:r>
              <w:rPr>
                <w:rFonts w:hint="eastAsia"/>
                <w:kern w:val="0"/>
                <w:szCs w:val="20"/>
              </w:rPr>
              <w:t>2025年累计推广228.80万亩</w:t>
            </w:r>
            <w:r>
              <w:rPr>
                <w:rFonts w:hint="eastAsia"/>
                <w:kern w:val="0"/>
                <w:szCs w:val="20"/>
                <w:lang w:eastAsia="zh-CN"/>
              </w:rPr>
              <w:t>，</w:t>
            </w:r>
            <w:r>
              <w:rPr>
                <w:rFonts w:hint="eastAsia"/>
                <w:kern w:val="0"/>
                <w:szCs w:val="20"/>
              </w:rPr>
              <w:t>其中2023</w:t>
            </w:r>
            <w:r>
              <w:rPr>
                <w:rFonts w:hint="eastAsia"/>
                <w:kern w:val="0"/>
                <w:szCs w:val="20"/>
                <w:lang w:val="en-US" w:eastAsia="zh-CN"/>
              </w:rPr>
              <w:t>-</w:t>
            </w:r>
            <w:r>
              <w:rPr>
                <w:rFonts w:hint="eastAsia"/>
                <w:kern w:val="0"/>
                <w:szCs w:val="20"/>
              </w:rPr>
              <w:t>2025年推广126.1万亩，新增社会经济效益5.27亿元</w:t>
            </w:r>
            <w:r>
              <w:rPr>
                <w:rFonts w:hint="eastAsia"/>
                <w:kern w:val="0"/>
                <w:szCs w:val="20"/>
                <w:lang w:eastAsia="zh-CN"/>
              </w:rPr>
              <w:t>；</w:t>
            </w:r>
            <w:r>
              <w:rPr>
                <w:rFonts w:hint="eastAsia"/>
                <w:kern w:val="0"/>
                <w:szCs w:val="20"/>
              </w:rPr>
              <w:t>实现品种经营权转让收益180万元</w:t>
            </w:r>
            <w:r>
              <w:rPr>
                <w:rFonts w:hint="eastAsia"/>
                <w:kern w:val="0"/>
                <w:szCs w:val="20"/>
                <w:lang w:eastAsia="zh-CN"/>
              </w:rPr>
              <w:t>；</w:t>
            </w:r>
            <w:r>
              <w:rPr>
                <w:rFonts w:hint="eastAsia"/>
                <w:kern w:val="0"/>
                <w:szCs w:val="20"/>
              </w:rPr>
              <w:t>2023</w:t>
            </w:r>
            <w:r>
              <w:rPr>
                <w:rFonts w:hint="eastAsia"/>
                <w:kern w:val="0"/>
                <w:szCs w:val="20"/>
                <w:lang w:val="en-US" w:eastAsia="zh-CN"/>
              </w:rPr>
              <w:t>-</w:t>
            </w:r>
            <w:r>
              <w:rPr>
                <w:rFonts w:hint="eastAsia"/>
                <w:kern w:val="0"/>
                <w:szCs w:val="20"/>
              </w:rPr>
              <w:t>2025年品种累计销售额312.47万元，效益显著。</w:t>
            </w:r>
          </w:p>
          <w:p>
            <w:pPr>
              <w:ind w:firstLine="420" w:firstLineChars="200"/>
              <w:jc w:val="left"/>
              <w:rPr>
                <w:rFonts w:hint="eastAsia"/>
                <w:kern w:val="0"/>
                <w:szCs w:val="20"/>
                <w:lang w:val="en-US" w:eastAsia="zh-CN"/>
              </w:rPr>
            </w:pPr>
            <w:r>
              <w:rPr>
                <w:rFonts w:hint="eastAsia"/>
                <w:kern w:val="0"/>
                <w:szCs w:val="20"/>
                <w:lang w:val="en-US" w:eastAsia="zh-CN"/>
              </w:rPr>
              <w:t>项目贯通种质创制到产业化全链条，破解多项关键技术难题，经成果评价，综合技术水平达国内领先。</w:t>
            </w:r>
          </w:p>
          <w:p>
            <w:pPr>
              <w:ind w:firstLine="420" w:firstLineChars="200"/>
              <w:jc w:val="left"/>
              <w:rPr>
                <w:rFonts w:hint="eastAsia"/>
                <w:kern w:val="0"/>
                <w:szCs w:val="20"/>
              </w:rPr>
            </w:pPr>
          </w:p>
          <w:p>
            <w:pPr>
              <w:ind w:firstLine="420" w:firstLineChars="200"/>
              <w:jc w:val="left"/>
              <w:rPr>
                <w:rFonts w:hint="eastAsia"/>
                <w:kern w:val="0"/>
                <w:szCs w:val="20"/>
              </w:rPr>
            </w:pPr>
            <w:r>
              <w:rPr>
                <w:rFonts w:hint="eastAsia"/>
                <w:kern w:val="0"/>
                <w:szCs w:val="20"/>
              </w:rPr>
              <w:t>提名该项目为内蒙古自治区科学技术进步奖</w:t>
            </w:r>
            <w:r>
              <w:rPr>
                <w:rFonts w:hint="eastAsia"/>
                <w:kern w:val="0"/>
                <w:szCs w:val="20"/>
                <w:lang w:val="en-US" w:eastAsia="zh-CN"/>
              </w:rPr>
              <w:t>二</w:t>
            </w:r>
            <w:r>
              <w:rPr>
                <w:rFonts w:hint="eastAsia"/>
                <w:kern w:val="0"/>
                <w:szCs w:val="20"/>
              </w:rPr>
              <w:t>等奖。</w:t>
            </w:r>
          </w:p>
          <w:p>
            <w:pPr>
              <w:ind w:firstLine="420" w:firstLineChars="200"/>
              <w:jc w:val="left"/>
              <w:rPr>
                <w:rFonts w:hint="eastAsia"/>
                <w:kern w:val="0"/>
                <w:szCs w:val="20"/>
              </w:rPr>
            </w:pPr>
            <w:r>
              <w:rPr>
                <w:rFonts w:hint="eastAsia"/>
                <w:kern w:val="0"/>
                <w:szCs w:val="20"/>
              </w:rPr>
              <w:t>该项目已征求了</w:t>
            </w:r>
            <w:r>
              <w:rPr>
                <w:rFonts w:hint="eastAsia"/>
                <w:kern w:val="0"/>
                <w:szCs w:val="20"/>
                <w:lang w:val="en-US" w:eastAsia="zh-CN"/>
              </w:rPr>
              <w:t>郭二虎</w:t>
            </w:r>
            <w:r>
              <w:rPr>
                <w:rFonts w:hint="eastAsia"/>
                <w:kern w:val="0"/>
                <w:szCs w:val="20"/>
              </w:rPr>
              <w:t>（</w:t>
            </w:r>
            <w:r>
              <w:rPr>
                <w:rFonts w:hint="eastAsia"/>
                <w:kern w:val="0"/>
                <w:szCs w:val="20"/>
                <w:lang w:val="en-US" w:eastAsia="zh-CN"/>
              </w:rPr>
              <w:t>山西农业大学谷子研究所</w:t>
            </w:r>
            <w:r>
              <w:rPr>
                <w:rFonts w:hint="eastAsia"/>
                <w:kern w:val="0"/>
                <w:szCs w:val="20"/>
              </w:rPr>
              <w:t>、</w:t>
            </w:r>
            <w:r>
              <w:rPr>
                <w:rFonts w:hint="eastAsia"/>
                <w:kern w:val="0"/>
                <w:szCs w:val="20"/>
                <w:lang w:val="en-US" w:eastAsia="zh-CN"/>
              </w:rPr>
              <w:t>谷子育种与栽培</w:t>
            </w:r>
            <w:r>
              <w:rPr>
                <w:rFonts w:hint="eastAsia"/>
                <w:kern w:val="0"/>
                <w:szCs w:val="20"/>
              </w:rPr>
              <w:t>）、</w:t>
            </w:r>
            <w:r>
              <w:rPr>
                <w:rFonts w:hint="eastAsia"/>
                <w:kern w:val="0"/>
                <w:szCs w:val="20"/>
                <w:lang w:val="en-US" w:eastAsia="zh-CN"/>
              </w:rPr>
              <w:t>管延安</w:t>
            </w:r>
            <w:r>
              <w:rPr>
                <w:rFonts w:hint="eastAsia"/>
                <w:kern w:val="0"/>
                <w:szCs w:val="20"/>
              </w:rPr>
              <w:t>（</w:t>
            </w:r>
            <w:r>
              <w:rPr>
                <w:rFonts w:hint="eastAsia"/>
                <w:kern w:val="0"/>
                <w:szCs w:val="20"/>
                <w:lang w:val="en-US" w:eastAsia="zh-CN"/>
              </w:rPr>
              <w:t>山东省农业科学院作物研究所</w:t>
            </w:r>
            <w:r>
              <w:rPr>
                <w:rFonts w:hint="eastAsia"/>
                <w:kern w:val="0"/>
                <w:szCs w:val="20"/>
              </w:rPr>
              <w:t>、</w:t>
            </w:r>
            <w:r>
              <w:rPr>
                <w:rFonts w:hint="eastAsia"/>
                <w:kern w:val="0"/>
                <w:szCs w:val="20"/>
                <w:lang w:val="en-US" w:eastAsia="zh-CN"/>
              </w:rPr>
              <w:t>谷子遗传育种与栽培</w:t>
            </w:r>
            <w:r>
              <w:rPr>
                <w:rFonts w:hint="eastAsia"/>
                <w:kern w:val="0"/>
                <w:szCs w:val="20"/>
              </w:rPr>
              <w:t>）、</w:t>
            </w:r>
            <w:r>
              <w:rPr>
                <w:rFonts w:hint="eastAsia"/>
                <w:kern w:val="0"/>
                <w:szCs w:val="20"/>
                <w:lang w:val="en-US" w:eastAsia="zh-CN"/>
              </w:rPr>
              <w:t>李淑杰</w:t>
            </w:r>
            <w:r>
              <w:rPr>
                <w:rFonts w:hint="eastAsia"/>
                <w:kern w:val="0"/>
                <w:szCs w:val="20"/>
              </w:rPr>
              <w:t>（</w:t>
            </w:r>
            <w:r>
              <w:rPr>
                <w:rFonts w:hint="eastAsia"/>
                <w:kern w:val="0"/>
                <w:szCs w:val="20"/>
                <w:lang w:val="en-US" w:eastAsia="zh-CN"/>
              </w:rPr>
              <w:t>吉林省农业科学院</w:t>
            </w:r>
            <w:r>
              <w:rPr>
                <w:rFonts w:hint="eastAsia"/>
                <w:kern w:val="0"/>
                <w:szCs w:val="20"/>
              </w:rPr>
              <w:t>、</w:t>
            </w:r>
            <w:r>
              <w:rPr>
                <w:rFonts w:hint="eastAsia"/>
                <w:kern w:val="0"/>
                <w:szCs w:val="20"/>
                <w:lang w:val="en-US" w:eastAsia="zh-CN"/>
              </w:rPr>
              <w:t>作物遗传育种</w:t>
            </w:r>
            <w:r>
              <w:rPr>
                <w:rFonts w:hint="eastAsia"/>
                <w:kern w:val="0"/>
                <w:szCs w:val="20"/>
              </w:rPr>
              <w:t>）</w:t>
            </w:r>
            <w:r>
              <w:rPr>
                <w:rFonts w:hint="eastAsia"/>
                <w:kern w:val="0"/>
                <w:szCs w:val="20"/>
                <w:lang w:eastAsia="zh-CN"/>
              </w:rPr>
              <w:t>等</w:t>
            </w:r>
            <w:r>
              <w:rPr>
                <w:rFonts w:hint="eastAsia"/>
                <w:kern w:val="0"/>
                <w:szCs w:val="20"/>
              </w:rPr>
              <w:t>3名专家意见。</w:t>
            </w:r>
          </w:p>
          <w:p>
            <w:pPr>
              <w:ind w:firstLine="420" w:firstLineChars="200"/>
              <w:jc w:val="left"/>
              <w:rPr>
                <w:rFonts w:hint="eastAsia"/>
                <w:kern w:val="0"/>
                <w:szCs w:val="20"/>
              </w:rPr>
            </w:pPr>
            <w:r>
              <w:rPr>
                <w:rFonts w:hint="eastAsia"/>
                <w:kern w:val="0"/>
                <w:szCs w:val="20"/>
              </w:rPr>
              <w:t>本单位已于</w:t>
            </w:r>
            <w:r>
              <w:rPr>
                <w:rFonts w:hint="eastAsia"/>
                <w:kern w:val="0"/>
                <w:szCs w:val="20"/>
                <w:lang w:val="en-US" w:eastAsia="zh-CN"/>
              </w:rPr>
              <w:t>2026</w:t>
            </w:r>
            <w:r>
              <w:rPr>
                <w:rFonts w:hint="eastAsia"/>
                <w:kern w:val="0"/>
                <w:szCs w:val="20"/>
              </w:rPr>
              <w:t>年</w:t>
            </w:r>
            <w:r>
              <w:rPr>
                <w:rFonts w:hint="eastAsia"/>
                <w:kern w:val="0"/>
                <w:szCs w:val="20"/>
                <w:lang w:val="en-US" w:eastAsia="zh-CN"/>
              </w:rPr>
              <w:t>9</w:t>
            </w:r>
            <w:r>
              <w:rPr>
                <w:rFonts w:hint="eastAsia"/>
                <w:kern w:val="0"/>
                <w:szCs w:val="20"/>
              </w:rPr>
              <w:t>月</w:t>
            </w:r>
            <w:r>
              <w:rPr>
                <w:rFonts w:hint="eastAsia"/>
                <w:kern w:val="0"/>
                <w:szCs w:val="20"/>
                <w:lang w:val="en-US" w:eastAsia="zh-CN"/>
              </w:rPr>
              <w:t>4</w:t>
            </w:r>
            <w:r>
              <w:rPr>
                <w:rFonts w:hint="eastAsia"/>
                <w:kern w:val="0"/>
                <w:szCs w:val="20"/>
              </w:rPr>
              <w:t>日通过</w:t>
            </w:r>
            <w:r>
              <w:rPr>
                <w:rFonts w:hint="eastAsia"/>
                <w:kern w:val="0"/>
                <w:szCs w:val="20"/>
                <w:lang w:eastAsia="zh-CN"/>
              </w:rPr>
              <w:t>赤峰市科学技术局官网</w:t>
            </w:r>
            <w:r>
              <w:rPr>
                <w:rFonts w:hint="eastAsia"/>
                <w:kern w:val="0"/>
                <w:szCs w:val="20"/>
              </w:rPr>
              <w:t>方式对该项目的有关内容进行了公示。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38" w:hRule="atLeast"/>
          <w:jc w:val="center"/>
        </w:trPr>
        <w:tc>
          <w:tcPr>
            <w:tcW w:w="1080" w:type="dxa"/>
            <w:vAlign w:val="center"/>
          </w:tcPr>
          <w:p>
            <w:pPr>
              <w:jc w:val="center"/>
              <w:rPr>
                <w:color w:val="000000"/>
                <w:szCs w:val="20"/>
              </w:rPr>
            </w:pPr>
            <w:r>
              <w:rPr>
                <w:rFonts w:hint="eastAsia"/>
                <w:color w:val="000000"/>
                <w:szCs w:val="20"/>
              </w:rPr>
              <w:t>声</w:t>
            </w:r>
          </w:p>
          <w:p>
            <w:pPr>
              <w:jc w:val="center"/>
              <w:rPr>
                <w:color w:val="000000"/>
              </w:rPr>
            </w:pPr>
            <w:r>
              <w:rPr>
                <w:rFonts w:hint="eastAsia"/>
                <w:color w:val="000000"/>
              </w:rPr>
              <w:t>明</w:t>
            </w:r>
          </w:p>
        </w:tc>
        <w:tc>
          <w:tcPr>
            <w:tcW w:w="8011" w:type="dxa"/>
            <w:gridSpan w:val="4"/>
          </w:tcPr>
          <w:p>
            <w:pPr>
              <w:spacing w:line="400" w:lineRule="exact"/>
              <w:ind w:firstLine="420" w:firstLineChars="200"/>
              <w:rPr>
                <w:color w:val="000000"/>
              </w:rPr>
            </w:pPr>
            <w:r>
              <w:rPr>
                <w:rFonts w:hint="eastAsia"/>
                <w:color w:val="000000"/>
              </w:rPr>
              <w:t>本单位遵守《内蒙古自治区科学技术奖励办法》及其实施细则的有关规定和内蒙古自治区科学技术奖提名工作的具体要求，对提名书内容及全部附件材料进行了严格审查，确认该项目符合内蒙古自治区科学技术奖提名资格条件。</w:t>
            </w:r>
          </w:p>
          <w:p>
            <w:pPr>
              <w:spacing w:line="400" w:lineRule="exact"/>
              <w:ind w:firstLine="420" w:firstLineChars="200"/>
              <w:rPr>
                <w:color w:val="000000"/>
              </w:rPr>
            </w:pPr>
            <w:r>
              <w:rPr>
                <w:rFonts w:hint="eastAsia"/>
                <w:color w:val="000000"/>
              </w:rPr>
              <w:t>本单位承诺，如有材料虚假、科研失信、违规违纪等行为，愿意承担相应责任。如产生争议，将负责核实查证并出具调查核实意见。</w:t>
            </w:r>
          </w:p>
          <w:p>
            <w:pPr>
              <w:rPr>
                <w:rFonts w:ascii="仿宋_GB2312" w:hAnsi="仿宋_GB2312" w:cs="Times New Roman"/>
                <w:color w:val="000000"/>
                <w:szCs w:val="21"/>
              </w:rPr>
            </w:pPr>
          </w:p>
          <w:p>
            <w:pPr>
              <w:rPr>
                <w:rFonts w:ascii="仿宋_GB2312" w:hAnsi="仿宋_GB2312" w:cs="Times New Roman"/>
                <w:color w:val="000000"/>
                <w:szCs w:val="21"/>
              </w:rPr>
            </w:pPr>
          </w:p>
          <w:p>
            <w:pPr>
              <w:rPr>
                <w:rFonts w:ascii="仿宋_GB2312" w:hAnsi="仿宋_GB2312" w:cs="Times New Roman"/>
                <w:color w:val="000000"/>
                <w:szCs w:val="21"/>
              </w:rPr>
            </w:pPr>
          </w:p>
          <w:p>
            <w:pPr>
              <w:rPr>
                <w:rFonts w:ascii="仿宋_GB2312" w:hAnsi="仿宋_GB2312" w:cs="Times New Roman"/>
                <w:color w:val="000000"/>
                <w:szCs w:val="21"/>
              </w:rPr>
            </w:pPr>
            <w:r>
              <w:rPr>
                <w:rFonts w:hint="eastAsia" w:ascii="仿宋_GB2312" w:hAnsi="仿宋_GB2312" w:cs="Times New Roman"/>
                <w:color w:val="000000"/>
                <w:szCs w:val="21"/>
              </w:rPr>
              <w:t xml:space="preserve">                                        提名单位公章</w:t>
            </w:r>
          </w:p>
          <w:p>
            <w:pPr>
              <w:rPr>
                <w:rFonts w:ascii="仿宋_GB2312" w:hAnsi="仿宋_GB2312" w:cs="Times New Roman"/>
                <w:color w:val="000000"/>
                <w:szCs w:val="21"/>
              </w:rPr>
            </w:pPr>
          </w:p>
          <w:p>
            <w:pPr>
              <w:rPr>
                <w:color w:val="000000"/>
              </w:rPr>
            </w:pPr>
            <w:r>
              <w:rPr>
                <w:rFonts w:hint="eastAsia" w:ascii="仿宋_GB2312" w:hAnsi="仿宋_GB2312" w:cs="Times New Roman"/>
                <w:color w:val="000000"/>
                <w:szCs w:val="21"/>
              </w:rPr>
              <w:t xml:space="preserve">                                                        年   月   日</w:t>
            </w:r>
          </w:p>
        </w:tc>
      </w:tr>
    </w:tbl>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swiss"/>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00"/>
    <w:family w:val="auto"/>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hyphenationZone w:val="36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JmOGViNWYxZDNlZTU2NjE4MzVhN2I1MzI5ZjM3NDgifQ=="/>
    <w:docVar w:name="KSO_WPS_MARK_KEY" w:val="528f0a4b-dcd3-40c0-9cc4-db27954ca8d5"/>
  </w:docVars>
  <w:rsids>
    <w:rsidRoot w:val="00000000"/>
    <w:rsid w:val="02286B1D"/>
    <w:rsid w:val="077C4233"/>
    <w:rsid w:val="0EAA9832"/>
    <w:rsid w:val="12BF0DF0"/>
    <w:rsid w:val="1DEE2B33"/>
    <w:rsid w:val="21845481"/>
    <w:rsid w:val="2D5C29FD"/>
    <w:rsid w:val="30A40444"/>
    <w:rsid w:val="34E708E9"/>
    <w:rsid w:val="357DF021"/>
    <w:rsid w:val="358E5CA2"/>
    <w:rsid w:val="37F5E5DA"/>
    <w:rsid w:val="3ABCE902"/>
    <w:rsid w:val="4A4C5726"/>
    <w:rsid w:val="4D8D56BD"/>
    <w:rsid w:val="5F777D79"/>
    <w:rsid w:val="69D924A6"/>
    <w:rsid w:val="6A9E7C87"/>
    <w:rsid w:val="70DF2348"/>
    <w:rsid w:val="75741164"/>
    <w:rsid w:val="76FF2F2F"/>
    <w:rsid w:val="78A43B93"/>
    <w:rsid w:val="7DBF35F9"/>
    <w:rsid w:val="7EBF83C9"/>
    <w:rsid w:val="7FC10D61"/>
    <w:rsid w:val="8F7D243E"/>
    <w:rsid w:val="9654D16D"/>
    <w:rsid w:val="A7FD8B3A"/>
    <w:rsid w:val="AF3F22FD"/>
    <w:rsid w:val="B96F60C7"/>
    <w:rsid w:val="DFFFA85C"/>
    <w:rsid w:val="FBED5C1C"/>
    <w:rsid w:val="FFDEFF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pPr>
      <w:spacing w:line="360" w:lineRule="auto"/>
      <w:ind w:firstLine="480" w:firstLineChars="200"/>
    </w:pPr>
    <w:rPr>
      <w:rFonts w:ascii="仿宋_GB2312" w:hAnsi="Times New Roman" w:eastAsia="宋体" w:cs="Times New Roman"/>
      <w:sz w:val="24"/>
      <w:szCs w:val="20"/>
    </w:rPr>
  </w:style>
  <w:style w:type="paragraph" w:styleId="3">
    <w:name w:val="footer"/>
    <w:basedOn w:val="1"/>
    <w:unhideWhenUsed/>
    <w:qFormat/>
    <w:uiPriority w:val="0"/>
    <w:pPr>
      <w:tabs>
        <w:tab w:val="center" w:pos="4153"/>
        <w:tab w:val="right" w:pos="8306"/>
      </w:tabs>
      <w:snapToGrid w:val="0"/>
      <w:jc w:val="left"/>
    </w:pPr>
    <w:rPr>
      <w:sz w:val="18"/>
      <w:szCs w:val="18"/>
    </w:rPr>
  </w:style>
  <w:style w:type="paragraph" w:styleId="4">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6">
    <w:name w:val="index 1"/>
    <w:basedOn w:val="1"/>
    <w:next w:val="1"/>
    <w:semiHidden/>
    <w:qFormat/>
    <w:uiPriority w:val="0"/>
    <w:pPr>
      <w:widowControl/>
      <w:snapToGrid w:val="0"/>
    </w:pPr>
  </w:style>
  <w:style w:type="paragraph" w:customStyle="1" w:styleId="9">
    <w:name w:val="_Style 8"/>
    <w:basedOn w:val="1"/>
    <w:next w:val="1"/>
    <w:qFormat/>
    <w:uiPriority w:val="0"/>
    <w:pPr>
      <w:spacing w:line="360" w:lineRule="auto"/>
      <w:ind w:firstLine="480" w:firstLineChars="200"/>
    </w:pPr>
    <w:rPr>
      <w:rFonts w:ascii="仿宋_GB2312"/>
      <w:sz w:val="24"/>
    </w:rPr>
  </w:style>
  <w:style w:type="paragraph" w:customStyle="1" w:styleId="10">
    <w:name w:val="表格文字"/>
    <w:basedOn w:val="2"/>
    <w:qFormat/>
    <w:uiPriority w:val="0"/>
    <w:pPr>
      <w:spacing w:line="390" w:lineRule="exact"/>
      <w:ind w:firstLine="0" w:firstLineChars="0"/>
      <w:jc w:val="center"/>
    </w:pPr>
    <w:rPr>
      <w:rFonts w:hAnsi="仿宋_GB2312" w:eastAsia="仿宋_GB2312"/>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771</Words>
  <Characters>821</Characters>
  <Lines>0</Lines>
  <Paragraphs>0</Paragraphs>
  <TotalTime>1</TotalTime>
  <ScaleCrop>false</ScaleCrop>
  <LinksUpToDate>false</LinksUpToDate>
  <CharactersWithSpaces>952</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2024-11-16T00:26:00Z</dcterms:created>
  <dc:creator>YF</dc:creator>
  <cp:lastModifiedBy>kjj</cp:lastModifiedBy>
  <dcterms:modified xsi:type="dcterms:W3CDTF">2026-09-04T12:57:16Z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EEE51FDAEA1B400DA0D7D7212F60BABE</vt:lpwstr>
  </property>
</Properties>
</file>