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sz w:val="24"/>
        </w:rPr>
      </w:pPr>
    </w:p>
    <w:p>
      <w:pPr>
        <w:spacing w:line="360" w:lineRule="auto"/>
        <w:jc w:val="center"/>
        <w:rPr>
          <w:rFonts w:ascii="宋体" w:hAnsi="宋体"/>
          <w:b/>
          <w:bCs/>
          <w:sz w:val="52"/>
          <w:szCs w:val="52"/>
        </w:rPr>
      </w:pPr>
      <w:r>
        <w:rPr>
          <w:rFonts w:ascii="宋体" w:hAnsi="宋体"/>
          <w:b/>
          <w:bCs/>
          <w:sz w:val="52"/>
          <w:szCs w:val="52"/>
        </w:rPr>
        <w:t>2023</w:t>
      </w:r>
      <w:r>
        <w:rPr>
          <w:rFonts w:hint="eastAsia" w:ascii="宋体" w:hAnsi="宋体"/>
          <w:b/>
          <w:bCs/>
          <w:sz w:val="52"/>
          <w:szCs w:val="52"/>
        </w:rPr>
        <w:t>年度赤峰市科学技术局（部门）</w:t>
      </w:r>
    </w:p>
    <w:p>
      <w:pPr>
        <w:keepNext/>
        <w:keepLines/>
        <w:tabs>
          <w:tab w:val="left" w:pos="6669"/>
        </w:tabs>
        <w:ind w:left="198"/>
        <w:jc w:val="center"/>
        <w:rPr>
          <w:b/>
          <w:bCs/>
          <w:sz w:val="52"/>
          <w:szCs w:val="52"/>
          <w:highlight w:val="none"/>
        </w:rPr>
      </w:pPr>
      <w:r>
        <w:rPr>
          <w:rFonts w:hint="eastAsia" w:ascii="方正小标宋简体" w:hAnsi="方正小标宋简体" w:eastAsia="方正小标宋简体" w:cs="方正小标宋简体"/>
          <w:sz w:val="44"/>
          <w:szCs w:val="44"/>
          <w:highlight w:val="none"/>
        </w:rPr>
        <w:t>决算公开</w:t>
      </w: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spacing w:line="360" w:lineRule="auto"/>
        <w:jc w:val="center"/>
        <w:rPr>
          <w:rFonts w:ascii="宋体" w:hAnsi="宋体"/>
          <w:b/>
          <w:bCs/>
          <w:sz w:val="52"/>
          <w:szCs w:val="52"/>
        </w:rPr>
      </w:pPr>
    </w:p>
    <w:p>
      <w:pPr>
        <w:pStyle w:val="20"/>
        <w:spacing w:after="0" w:line="600" w:lineRule="exact"/>
        <w:ind w:left="0" w:leftChars="0" w:firstLine="0"/>
        <w:jc w:val="center"/>
        <w:rPr>
          <w:rFonts w:hint="default" w:ascii="黑体" w:hAnsi="黑体" w:eastAsia="黑体" w:cs="黑体"/>
          <w:sz w:val="32"/>
          <w:szCs w:val="32"/>
          <w:highlight w:val="none"/>
          <w:u w:val="single"/>
          <w:lang w:val="en-US" w:eastAsia="zh-CN"/>
        </w:rPr>
      </w:pPr>
      <w:r>
        <w:rPr>
          <w:rFonts w:ascii="黑体" w:hAnsi="黑体" w:eastAsia="黑体" w:cs="黑体"/>
          <w:sz w:val="32"/>
          <w:szCs w:val="32"/>
          <w:highlight w:val="none"/>
        </w:rPr>
        <w:t>批复时间：</w:t>
      </w:r>
      <w:r>
        <w:rPr>
          <w:rFonts w:hint="eastAsia" w:ascii="黑体" w:hAnsi="黑体" w:eastAsia="黑体" w:cs="黑体"/>
          <w:sz w:val="32"/>
          <w:szCs w:val="32"/>
          <w:highlight w:val="none"/>
          <w:u w:val="single"/>
          <w:lang w:val="en-US" w:eastAsia="zh-CN"/>
        </w:rPr>
        <w:t>2024年7月11</w:t>
      </w:r>
      <w:bookmarkStart w:id="3" w:name="_GoBack"/>
      <w:bookmarkEnd w:id="3"/>
      <w:r>
        <w:rPr>
          <w:rFonts w:hint="eastAsia" w:ascii="黑体" w:hAnsi="黑体" w:eastAsia="黑体" w:cs="黑体"/>
          <w:sz w:val="32"/>
          <w:szCs w:val="32"/>
          <w:highlight w:val="none"/>
          <w:u w:val="single"/>
          <w:lang w:val="en-US" w:eastAsia="zh-CN"/>
        </w:rPr>
        <w:t>日</w:t>
      </w:r>
    </w:p>
    <w:p>
      <w:pPr>
        <w:pStyle w:val="20"/>
        <w:spacing w:after="0" w:line="600" w:lineRule="exact"/>
        <w:ind w:left="0" w:leftChars="0" w:firstLine="0"/>
        <w:jc w:val="center"/>
        <w:rPr>
          <w:rFonts w:hint="default" w:ascii="黑体" w:hAnsi="黑体" w:eastAsia="黑体" w:cs="黑体"/>
          <w:sz w:val="32"/>
          <w:szCs w:val="32"/>
          <w:highlight w:val="none"/>
          <w:u w:val="single"/>
          <w:lang w:val="en-US" w:eastAsia="zh-CN"/>
        </w:rPr>
      </w:pPr>
      <w:r>
        <w:rPr>
          <w:rFonts w:hint="eastAsia" w:ascii="黑体" w:hAnsi="黑体" w:eastAsia="黑体" w:cs="黑体"/>
          <w:sz w:val="32"/>
          <w:szCs w:val="32"/>
          <w:highlight w:val="none"/>
          <w:lang w:val="en-US" w:eastAsia="zh-CN"/>
        </w:rPr>
        <w:t>公开时间</w:t>
      </w:r>
      <w:r>
        <w:rPr>
          <w:rFonts w:hint="eastAsia" w:ascii="黑体" w:hAnsi="黑体" w:eastAsia="黑体" w:cs="黑体"/>
          <w:sz w:val="32"/>
          <w:szCs w:val="32"/>
          <w:highlight w:val="none"/>
          <w:u w:val="none"/>
          <w:lang w:val="en-US" w:eastAsia="zh-CN"/>
        </w:rPr>
        <w:t>：</w:t>
      </w:r>
      <w:r>
        <w:rPr>
          <w:rFonts w:hint="eastAsia" w:ascii="黑体" w:hAnsi="黑体" w:eastAsia="黑体" w:cs="黑体"/>
          <w:sz w:val="32"/>
          <w:szCs w:val="32"/>
          <w:highlight w:val="none"/>
          <w:u w:val="single"/>
          <w:lang w:val="en-US" w:eastAsia="zh-CN"/>
        </w:rPr>
        <w:t>2024年7月30日</w:t>
      </w:r>
    </w:p>
    <w:p>
      <w:pPr>
        <w:adjustRightInd w:val="0"/>
        <w:snapToGrid w:val="0"/>
        <w:rPr>
          <w:rFonts w:ascii="宋体" w:hAnsi="宋体"/>
          <w:b/>
          <w:sz w:val="32"/>
          <w:szCs w:val="32"/>
        </w:rPr>
      </w:pPr>
    </w:p>
    <w:p>
      <w:pPr>
        <w:adjustRightInd w:val="0"/>
        <w:snapToGrid w:val="0"/>
        <w:jc w:val="center"/>
      </w:pPr>
    </w:p>
    <w:p>
      <w:pPr>
        <w:adjustRightInd w:val="0"/>
        <w:snapToGrid w:val="0"/>
        <w:rPr>
          <w:rFonts w:ascii="宋体" w:hAnsi="宋体"/>
          <w:b/>
          <w:sz w:val="32"/>
          <w:szCs w:val="32"/>
        </w:rPr>
      </w:pPr>
    </w:p>
    <w:p>
      <w:pPr>
        <w:widowControl/>
        <w:spacing w:after="240"/>
        <w:jc w:val="center"/>
        <w:rPr>
          <w:rFonts w:ascii="fang_song_gb2312" w:hAnsi="fang_song_gb2312" w:eastAsia="fang_song_gb2312" w:cs="fang_song_gb2312"/>
          <w:b/>
          <w:bCs/>
          <w:kern w:val="0"/>
          <w:sz w:val="54"/>
          <w:szCs w:val="54"/>
        </w:rPr>
      </w:pPr>
      <w:bookmarkStart w:id="0" w:name="a000"/>
    </w:p>
    <w:p>
      <w:pPr>
        <w:widowControl/>
        <w:spacing w:after="240"/>
        <w:jc w:val="center"/>
        <w:rPr>
          <w:rFonts w:ascii="fang_song_gb2312" w:hAnsi="fang_song_gb2312" w:eastAsia="fang_song_gb2312" w:cs="fang_song_gb2312"/>
          <w:b/>
          <w:bCs/>
          <w:kern w:val="0"/>
          <w:sz w:val="54"/>
          <w:szCs w:val="54"/>
        </w:rPr>
      </w:pPr>
    </w:p>
    <w:p>
      <w:pPr>
        <w:widowControl/>
        <w:spacing w:after="240"/>
        <w:jc w:val="center"/>
        <w:rPr>
          <w:rFonts w:ascii="Times New Roman" w:hAnsi="Times New Roman" w:eastAsia="Times New Roman" w:cs="Times New Roman"/>
          <w:kern w:val="0"/>
          <w:sz w:val="24"/>
        </w:rPr>
      </w:pPr>
      <w:r>
        <w:rPr>
          <w:rFonts w:ascii="fang_song_gb2312" w:hAnsi="fang_song_gb2312" w:eastAsia="fang_song_gb2312" w:cs="fang_song_gb2312"/>
          <w:b/>
          <w:bCs/>
          <w:kern w:val="0"/>
          <w:sz w:val="54"/>
          <w:szCs w:val="54"/>
        </w:rPr>
        <w:t>目 录</w:t>
      </w:r>
    </w:p>
    <w:p>
      <w:pPr>
        <w:widowControl/>
        <w:spacing w:before="240" w:after="240"/>
        <w:jc w:val="left"/>
        <w:rPr>
          <w:rFonts w:ascii="Times New Roman" w:hAnsi="Times New Roman" w:eastAsia="Times New Roman" w:cs="Times New Roman"/>
          <w:kern w:val="0"/>
          <w:sz w:val="24"/>
        </w:rPr>
      </w:pPr>
      <w:r>
        <w:rPr>
          <w:rFonts w:ascii="Times New Roman" w:hAnsi="Times New Roman" w:eastAsia="Times New Roman" w:cs="Times New Roman"/>
          <w:b/>
          <w:bCs/>
          <w:kern w:val="0"/>
          <w:sz w:val="24"/>
        </w:rPr>
        <w:t> </w:t>
      </w:r>
    </w:p>
    <w:p>
      <w:pPr>
        <w:pStyle w:val="8"/>
        <w:spacing w:after="0" w:line="360" w:lineRule="auto"/>
        <w:rPr>
          <w:rFonts w:ascii="黑体" w:hAnsi="黑体" w:eastAsia="黑体" w:cs="黑体"/>
          <w:sz w:val="32"/>
          <w:szCs w:val="32"/>
          <w:highlight w:val="none"/>
        </w:rPr>
      </w:pPr>
      <w:r>
        <w:rPr>
          <w:rFonts w:ascii="Times New Roman" w:hAnsi="Times New Roman" w:eastAsia="Times New Roman" w:cs="Times New Roman"/>
          <w:b/>
          <w:bCs/>
          <w:kern w:val="0"/>
          <w:sz w:val="24"/>
        </w:rPr>
        <w:t> </w:t>
      </w:r>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val="en-US" w:eastAsia="zh-CN"/>
        </w:rPr>
        <w:t>赤峰市科学技术局（部门）</w:t>
      </w:r>
      <w:r>
        <w:rPr>
          <w:rFonts w:hint="eastAsia" w:ascii="黑体" w:hAnsi="黑体" w:eastAsia="黑体" w:cs="黑体"/>
          <w:sz w:val="32"/>
          <w:szCs w:val="32"/>
          <w:highlight w:val="none"/>
        </w:rPr>
        <w:t>概况</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一、主要职能、职责</w:t>
      </w:r>
    </w:p>
    <w:p>
      <w:pPr>
        <w:pStyle w:val="8"/>
        <w:tabs>
          <w:tab w:val="left" w:pos="994"/>
        </w:tabs>
        <w:spacing w:before="6" w:line="235" w:lineRule="auto"/>
        <w:ind w:right="1670"/>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二、单位机构设置及决算单位构成情况</w:t>
      </w:r>
    </w:p>
    <w:p>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 xml:space="preserve">第二部分 </w:t>
      </w:r>
      <w:r>
        <w:rPr>
          <w:rFonts w:hint="eastAsia" w:ascii="黑体" w:hAnsi="黑体" w:eastAsia="黑体" w:cs="黑体"/>
          <w:sz w:val="32"/>
          <w:szCs w:val="32"/>
          <w:highlight w:val="none"/>
          <w:lang w:val="en-US" w:eastAsia="zh-CN"/>
        </w:rPr>
        <w:t>2023</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val="en-US" w:eastAsia="zh-CN"/>
        </w:rPr>
        <w:t>赤峰市科学技术局（部门）</w:t>
      </w:r>
      <w:r>
        <w:rPr>
          <w:rFonts w:hint="eastAsia" w:ascii="黑体" w:hAnsi="黑体" w:eastAsia="黑体" w:cs="黑体"/>
          <w:sz w:val="32"/>
          <w:szCs w:val="32"/>
          <w:highlight w:val="none"/>
        </w:rPr>
        <w:t>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一、收入支出决算总体情况说明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二、收入决算情况说明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三、支出决算情况说明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四、财政拨款收入支出决算总体情况说明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五、一般公共预算支出决算情况说明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六、一般公共预算基本支出决算情况说明</w:t>
      </w:r>
    </w:p>
    <w:p>
      <w:pPr>
        <w:pStyle w:val="8"/>
        <w:spacing w:after="0" w:line="360" w:lineRule="auto"/>
        <w:rPr>
          <w:rFonts w:hint="default" w:ascii="Times New Roman" w:hAnsi="Times New Roman" w:eastAsia="仿宋_GB2312" w:cs="仿宋"/>
          <w:w w:val="95"/>
          <w:sz w:val="32"/>
          <w:szCs w:val="32"/>
          <w:highlight w:val="none"/>
          <w:lang w:val="en-US" w:eastAsia="zh-CN"/>
        </w:rPr>
      </w:pPr>
      <w:r>
        <w:rPr>
          <w:rFonts w:hint="eastAsia" w:ascii="Times New Roman" w:hAnsi="Times New Roman" w:eastAsia="仿宋_GB2312" w:cs="仿宋"/>
          <w:w w:val="95"/>
          <w:sz w:val="32"/>
          <w:szCs w:val="32"/>
          <w:highlight w:val="none"/>
        </w:rPr>
        <w:t>七、</w:t>
      </w:r>
      <w:r>
        <w:rPr>
          <w:rFonts w:hint="eastAsia" w:eastAsia="仿宋_GB2312" w:cs="仿宋"/>
          <w:w w:val="95"/>
          <w:sz w:val="32"/>
          <w:szCs w:val="32"/>
          <w:highlight w:val="none"/>
          <w:lang w:val="en-US" w:eastAsia="zh-CN"/>
        </w:rPr>
        <w:t>财政拨款“三公”经费支出决算情况说明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八、政府性基金预算</w:t>
      </w:r>
      <w:r>
        <w:rPr>
          <w:rFonts w:hint="eastAsia" w:eastAsia="仿宋_GB2312" w:cs="仿宋"/>
          <w:w w:val="95"/>
          <w:sz w:val="32"/>
          <w:szCs w:val="32"/>
          <w:highlight w:val="none"/>
          <w:lang w:val="en-US" w:eastAsia="zh-CN"/>
        </w:rPr>
        <w:t>财政拨款</w:t>
      </w:r>
      <w:r>
        <w:rPr>
          <w:rFonts w:hint="eastAsia" w:ascii="Times New Roman" w:hAnsi="Times New Roman" w:eastAsia="仿宋_GB2312" w:cs="仿宋"/>
          <w:w w:val="95"/>
          <w:sz w:val="32"/>
          <w:szCs w:val="32"/>
          <w:highlight w:val="none"/>
        </w:rPr>
        <w:t>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九、国有资本经营预算</w:t>
      </w:r>
      <w:r>
        <w:rPr>
          <w:rFonts w:hint="eastAsia" w:eastAsia="仿宋_GB2312" w:cs="仿宋"/>
          <w:w w:val="95"/>
          <w:sz w:val="32"/>
          <w:szCs w:val="32"/>
          <w:highlight w:val="none"/>
          <w:lang w:val="en-US" w:eastAsia="zh-CN"/>
        </w:rPr>
        <w:t>财政拨款</w:t>
      </w:r>
      <w:r>
        <w:rPr>
          <w:rFonts w:hint="eastAsia" w:ascii="Times New Roman" w:hAnsi="Times New Roman" w:eastAsia="仿宋_GB2312" w:cs="仿宋"/>
          <w:w w:val="95"/>
          <w:sz w:val="32"/>
          <w:szCs w:val="32"/>
          <w:highlight w:val="none"/>
        </w:rPr>
        <w:t>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十、项目支出决算情况说明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十一、</w:t>
      </w:r>
      <w:r>
        <w:rPr>
          <w:rFonts w:hint="eastAsia" w:ascii="Times New Roman" w:hAnsi="Times New Roman" w:eastAsia="仿宋_GB2312" w:cs="仿宋"/>
          <w:w w:val="95"/>
          <w:sz w:val="32"/>
          <w:szCs w:val="32"/>
          <w:highlight w:val="none"/>
          <w:lang w:val="en-US" w:eastAsia="zh-CN"/>
        </w:rPr>
        <w:t>机构</w:t>
      </w:r>
      <w:r>
        <w:rPr>
          <w:rFonts w:hint="eastAsia" w:ascii="Times New Roman" w:hAnsi="Times New Roman" w:eastAsia="仿宋_GB2312" w:cs="仿宋"/>
          <w:w w:val="95"/>
          <w:sz w:val="32"/>
          <w:szCs w:val="32"/>
          <w:highlight w:val="none"/>
        </w:rPr>
        <w:t>运行经费支出决算情况说明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十二、政府采购支出决算情况说明</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十三、国有资产占用情况说明</w:t>
      </w:r>
    </w:p>
    <w:p>
      <w:pPr>
        <w:pStyle w:val="8"/>
        <w:spacing w:after="0" w:line="360" w:lineRule="auto"/>
        <w:rPr>
          <w:rFonts w:hint="eastAsia" w:ascii="Times New Roman" w:hAnsi="Times New Roman" w:eastAsia="仿宋_GB2312" w:cs="仿宋"/>
          <w:w w:val="95"/>
          <w:sz w:val="32"/>
          <w:szCs w:val="32"/>
          <w:highlight w:val="none"/>
          <w:lang w:val="en-US" w:eastAsia="zh-CN"/>
        </w:rPr>
      </w:pPr>
      <w:r>
        <w:rPr>
          <w:rFonts w:hint="eastAsia" w:ascii="Times New Roman" w:hAnsi="Times New Roman" w:eastAsia="仿宋_GB2312" w:cs="仿宋"/>
          <w:w w:val="95"/>
          <w:sz w:val="32"/>
          <w:szCs w:val="32"/>
          <w:highlight w:val="none"/>
        </w:rPr>
        <w:t>十四、预算绩效情况</w:t>
      </w:r>
      <w:r>
        <w:rPr>
          <w:rFonts w:hint="eastAsia" w:eastAsia="仿宋_GB2312" w:cs="仿宋"/>
          <w:w w:val="95"/>
          <w:sz w:val="32"/>
          <w:szCs w:val="32"/>
          <w:highlight w:val="none"/>
          <w:lang w:val="en-US" w:eastAsia="zh-CN"/>
        </w:rPr>
        <w:t>说明</w:t>
      </w:r>
    </w:p>
    <w:p>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pPr>
        <w:pStyle w:val="8"/>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第四部分 </w:t>
      </w:r>
      <w:r>
        <w:rPr>
          <w:rFonts w:hint="eastAsia" w:ascii="黑体" w:hAnsi="黑体" w:eastAsia="黑体" w:cs="黑体"/>
          <w:sz w:val="32"/>
          <w:szCs w:val="32"/>
          <w:highlight w:val="none"/>
          <w:lang w:val="en-US" w:eastAsia="zh-CN"/>
        </w:rPr>
        <w:t>决算</w:t>
      </w:r>
      <w:r>
        <w:rPr>
          <w:rFonts w:hint="eastAsia" w:ascii="黑体" w:hAnsi="黑体" w:eastAsia="黑体" w:cs="黑体"/>
          <w:sz w:val="32"/>
          <w:szCs w:val="32"/>
          <w:highlight w:val="none"/>
        </w:rPr>
        <w:t>公开联系方式及信息反馈渠道</w:t>
      </w:r>
    </w:p>
    <w:p>
      <w:pPr>
        <w:pStyle w:val="8"/>
        <w:spacing w:after="0" w:line="360" w:lineRule="auto"/>
        <w:rPr>
          <w:rFonts w:ascii="黑体" w:hAnsi="黑体" w:eastAsia="黑体" w:cs="黑体"/>
          <w:sz w:val="32"/>
          <w:szCs w:val="32"/>
          <w:highlight w:val="none"/>
        </w:rPr>
      </w:pPr>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 xml:space="preserve">部分 </w:t>
      </w:r>
      <w:r>
        <w:rPr>
          <w:rFonts w:hint="eastAsia" w:ascii="黑体" w:hAnsi="黑体" w:eastAsia="黑体" w:cs="黑体"/>
          <w:sz w:val="32"/>
          <w:szCs w:val="32"/>
          <w:highlight w:val="none"/>
          <w:lang w:val="en-US" w:eastAsia="zh-CN"/>
        </w:rPr>
        <w:t>2023</w:t>
      </w:r>
      <w:r>
        <w:rPr>
          <w:rFonts w:hint="eastAsia" w:ascii="黑体" w:hAnsi="黑体" w:eastAsia="黑体" w:cs="黑体"/>
          <w:sz w:val="32"/>
          <w:szCs w:val="32"/>
          <w:highlight w:val="none"/>
        </w:rPr>
        <w:t>年度</w:t>
      </w:r>
      <w:r>
        <w:rPr>
          <w:rFonts w:hint="eastAsia" w:ascii="黑体" w:hAnsi="黑体" w:eastAsia="黑体" w:cs="黑体"/>
          <w:sz w:val="32"/>
          <w:szCs w:val="32"/>
          <w:highlight w:val="none"/>
          <w:lang w:val="en-US" w:eastAsia="zh-CN"/>
        </w:rPr>
        <w:t>赤峰市科学技术局（部门）</w:t>
      </w:r>
      <w:r>
        <w:rPr>
          <w:rFonts w:hint="eastAsia" w:ascii="黑体" w:hAnsi="黑体" w:eastAsia="黑体" w:cs="黑体"/>
          <w:sz w:val="32"/>
          <w:szCs w:val="32"/>
          <w:highlight w:val="none"/>
        </w:rPr>
        <w:t>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一、收入支出决算总表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二、收入决算表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三、支出决算表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四、财政拨款收入支出决算总表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五、项目收入支出决算表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六、一般公共预算财政拨款支出决算表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七、一般公共预算财政拨款基本支出</w:t>
      </w:r>
      <w:r>
        <w:rPr>
          <w:rFonts w:hint="eastAsia" w:ascii="Times New Roman" w:hAnsi="Times New Roman" w:eastAsia="仿宋_GB2312" w:cs="仿宋"/>
          <w:w w:val="95"/>
          <w:sz w:val="32"/>
          <w:szCs w:val="32"/>
          <w:highlight w:val="none"/>
          <w:lang w:val="en-US" w:eastAsia="zh-CN"/>
        </w:rPr>
        <w:t>决算</w:t>
      </w:r>
      <w:r>
        <w:rPr>
          <w:rFonts w:hint="eastAsia" w:ascii="Times New Roman" w:hAnsi="Times New Roman" w:eastAsia="仿宋_GB2312" w:cs="仿宋"/>
          <w:w w:val="95"/>
          <w:sz w:val="32"/>
          <w:szCs w:val="32"/>
          <w:highlight w:val="none"/>
        </w:rPr>
        <w:t>明细表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八、政府性基金预算财政拨款收入支出决算表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九、国有资本经营预算财政拨款支出决算表</w:t>
      </w:r>
    </w:p>
    <w:p>
      <w:pPr>
        <w:pStyle w:val="8"/>
        <w:spacing w:after="0" w:line="360" w:lineRule="auto"/>
        <w:rPr>
          <w:rFonts w:ascii="Times New Roman" w:hAnsi="Times New Roman" w:eastAsia="仿宋_GB2312" w:cs="仿宋"/>
          <w:w w:val="95"/>
          <w:sz w:val="32"/>
          <w:szCs w:val="32"/>
          <w:highlight w:val="none"/>
        </w:rPr>
      </w:pPr>
      <w:r>
        <w:rPr>
          <w:rFonts w:hint="eastAsia" w:ascii="Times New Roman" w:hAnsi="Times New Roman" w:eastAsia="仿宋_GB2312" w:cs="仿宋"/>
          <w:w w:val="95"/>
          <w:sz w:val="32"/>
          <w:szCs w:val="32"/>
          <w:highlight w:val="none"/>
        </w:rPr>
        <w:t>十、财政拨款“三公”经费支出决算表</w:t>
      </w:r>
    </w:p>
    <w:p>
      <w:pPr>
        <w:pStyle w:val="8"/>
        <w:spacing w:after="0" w:line="360" w:lineRule="auto"/>
        <w:rPr>
          <w:rFonts w:ascii="Times New Roman" w:hAnsi="Times New Roman" w:eastAsia="Times New Roman" w:cs="Times New Roman"/>
          <w:kern w:val="0"/>
          <w:sz w:val="24"/>
        </w:rPr>
      </w:pPr>
      <w:r>
        <w:rPr>
          <w:rFonts w:hint="eastAsia" w:ascii="Times New Roman" w:hAnsi="Times New Roman" w:eastAsia="仿宋_GB2312" w:cs="仿宋"/>
          <w:w w:val="95"/>
          <w:sz w:val="32"/>
          <w:szCs w:val="32"/>
          <w:highlight w:val="none"/>
        </w:rPr>
        <w:t>十一、机构运行经费支出、国有资产占用情况及政府采购支出信息表</w:t>
      </w:r>
    </w:p>
    <w:p>
      <w:pPr>
        <w:widowControl/>
        <w:spacing w:before="240" w:after="240"/>
        <w:rPr>
          <w:rFonts w:ascii="Times New Roman" w:hAnsi="Times New Roman" w:eastAsia="Times New Roman" w:cs="Times New Roman"/>
          <w:kern w:val="0"/>
          <w:sz w:val="24"/>
        </w:rPr>
      </w:pPr>
    </w:p>
    <w:p>
      <w:pPr>
        <w:pStyle w:val="4"/>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bCs/>
          <w:sz w:val="36"/>
          <w:szCs w:val="36"/>
          <w:highlight w:val="none"/>
        </w:rPr>
      </w:pPr>
      <w:bookmarkStart w:id="1" w:name="_Toc28822"/>
      <w:r>
        <w:rPr>
          <w:rFonts w:hint="eastAsia" w:ascii="方正小标宋简体" w:hAnsi="方正小标宋简体" w:eastAsia="方正小标宋简体" w:cs="方正小标宋简体"/>
          <w:b w:val="0"/>
          <w:bCs w:val="0"/>
          <w:sz w:val="36"/>
          <w:szCs w:val="36"/>
          <w:highlight w:val="none"/>
        </w:rPr>
        <w:t>第一部分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bCs/>
          <w:sz w:val="36"/>
          <w:szCs w:val="36"/>
          <w:highlight w:val="none"/>
        </w:rPr>
        <w:t>赤峰市</w:t>
      </w:r>
      <w:r>
        <w:rPr>
          <w:rFonts w:hint="eastAsia" w:ascii="方正小标宋简体" w:hAnsi="方正小标宋简体" w:eastAsia="方正小标宋简体" w:cs="方正小标宋简体"/>
          <w:b/>
          <w:bCs/>
          <w:sz w:val="36"/>
          <w:szCs w:val="36"/>
          <w:highlight w:val="none"/>
          <w:lang w:val="en-US" w:eastAsia="zh-CN"/>
        </w:rPr>
        <w:t>科学技术局</w:t>
      </w:r>
      <w:r>
        <w:rPr>
          <w:rFonts w:hint="eastAsia" w:ascii="黑体" w:hAnsi="黑体" w:eastAsia="黑体" w:cs="黑体"/>
          <w:b/>
          <w:bCs/>
          <w:sz w:val="32"/>
          <w:szCs w:val="32"/>
          <w:highlight w:val="none"/>
          <w:lang w:val="en-US" w:eastAsia="zh-CN"/>
        </w:rPr>
        <w:t>（部门）</w:t>
      </w:r>
      <w:r>
        <w:rPr>
          <w:rFonts w:hint="eastAsia" w:ascii="方正小标宋简体" w:hAnsi="方正小标宋简体" w:eastAsia="方正小标宋简体" w:cs="方正小标宋简体"/>
          <w:b/>
          <w:bCs/>
          <w:sz w:val="36"/>
          <w:szCs w:val="36"/>
          <w:highlight w:val="none"/>
        </w:rPr>
        <w:t>概况</w:t>
      </w:r>
      <w:bookmarkEnd w:id="1"/>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一、主要职能、职责</w:t>
      </w:r>
    </w:p>
    <w:p>
      <w:pPr>
        <w:widowControl/>
        <w:spacing w:before="240" w:after="240"/>
        <w:ind w:firstLine="540" w:firstLineChars="200"/>
        <w:rPr>
          <w:rFonts w:hint="eastAsia" w:ascii="仿宋" w:hAnsi="仿宋" w:eastAsia="仿宋" w:cs="仿宋"/>
          <w:color w:val="auto"/>
          <w:sz w:val="32"/>
          <w:szCs w:val="32"/>
          <w:lang w:val="en-US" w:eastAsia="zh-CN"/>
        </w:rPr>
      </w:pPr>
      <w:r>
        <w:rPr>
          <w:rFonts w:ascii="fang_song_gb2312" w:hAnsi="fang_song_gb2312" w:eastAsia="fang_song_gb2312" w:cs="fang_song_gb2312"/>
          <w:color w:val="0E00FE"/>
          <w:kern w:val="0"/>
          <w:sz w:val="27"/>
          <w:szCs w:val="27"/>
        </w:rPr>
        <w:t xml:space="preserve">    </w:t>
      </w:r>
      <w:r>
        <w:rPr>
          <w:rFonts w:hint="eastAsia" w:ascii="仿宋" w:hAnsi="仿宋" w:eastAsia="仿宋" w:cs="仿宋"/>
          <w:color w:val="auto"/>
          <w:sz w:val="32"/>
          <w:szCs w:val="32"/>
          <w:lang w:val="en-US" w:eastAsia="zh-CN"/>
        </w:rPr>
        <w:t>（一）部门职能</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赤峰市科学技术局是赤峰市人民政府主管科技行政管理的综合经济部门。</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（二）部门主要职责</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1、贯彻执行国家、自治区和赤峰市有关科技工作的法律法规和方针政策，牵头拟订赤峰市科技发展规划和政策，起草有关规范性文件，并组织实施和执法检查。</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2、拟订全市创新驱动发展战略以及科技发展、引进外国智力规划和政策并组织实施。</w:t>
      </w:r>
    </w:p>
    <w:p>
      <w:pPr>
        <w:widowControl/>
        <w:spacing w:before="240" w:after="240"/>
        <w:ind w:firstLine="640" w:firstLineChars="200"/>
        <w:rPr>
          <w:rFonts w:hint="eastAsia"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3</w:t>
      </w:r>
      <w:r>
        <w:rPr>
          <w:rFonts w:hint="eastAsia" w:ascii="仿宋" w:hAnsi="仿宋" w:eastAsia="仿宋" w:cs="仿宋"/>
          <w:color w:val="auto"/>
          <w:sz w:val="32"/>
          <w:szCs w:val="32"/>
          <w:lang w:val="en-US" w:eastAsia="zh-CN"/>
        </w:rPr>
        <w:t>、负责组织实施国家、自治区下达的科技计划，编制并组织实施市本级科技计划。</w:t>
      </w:r>
    </w:p>
    <w:p>
      <w:pPr>
        <w:widowControl/>
        <w:spacing w:before="240" w:after="240"/>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4</w:t>
      </w:r>
      <w:r>
        <w:rPr>
          <w:rFonts w:hint="eastAsia" w:ascii="仿宋" w:hAnsi="仿宋" w:eastAsia="仿宋" w:cs="仿宋"/>
          <w:color w:val="auto"/>
          <w:sz w:val="32"/>
          <w:szCs w:val="32"/>
          <w:lang w:val="en-US" w:eastAsia="zh-CN"/>
        </w:rPr>
        <w:t>、负责高新区、科技园区等科技创新平台、载体建设。</w:t>
      </w:r>
    </w:p>
    <w:p>
      <w:pPr>
        <w:widowControl/>
        <w:spacing w:before="240" w:after="240"/>
        <w:ind w:firstLine="640" w:firstLineChars="200"/>
        <w:rPr>
          <w:rFonts w:hint="default"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5</w:t>
      </w:r>
      <w:r>
        <w:rPr>
          <w:rFonts w:hint="eastAsia" w:ascii="仿宋" w:hAnsi="仿宋" w:eastAsia="仿宋" w:cs="仿宋"/>
          <w:color w:val="auto"/>
          <w:sz w:val="32"/>
          <w:szCs w:val="32"/>
          <w:lang w:val="en-US" w:eastAsia="zh-CN"/>
        </w:rPr>
        <w:t>、牵头建立统一的全市科技管理平台和科研项目资金协调、评估、监管机制。会同有关部门提出优化配置科技资源的政策建议，推动多元化科技投入体系建设。</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6、统筹推进全市技术创新体系建设，深化科技体制改革，会同有关部门健全科技创新激励机制，加强科研诚信建设，提升企业、大专院校、科研机构的创新能力。</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7、组织拟订市科技人才队伍建设规划和政策并监督实施，组织实施科技人才计划，推动科技创新创业人才队伍建设。</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8、组织拟订全市基础研究、高新技术发展、科技促进农牧业农村牧区和社会发展的规划、政策和措施。组织开展赤峰市重点领域技术发展前瞻性研究，提出重大任务并监督实施。</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9、牵头拟订科技合作、外国专家管理、科技成果转移转化等领域的发展规划、政策和措施并监督实施。指导科技服务业、技术市场和科技中介组织发展。</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10、负责科技评估管理工作，统筹科研诚信建设，组织相关科技成果应用评价及示范推广，组织开展外国专家项目和引智成果的评估与推广工作。</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11、承担科技统计、科技安全、科技保密、科技奖励等相关工作。</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12、组织指导国际、国内科技合作及科技人才交流工作。</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13、完成市委、政府交办的其他任务。</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14、职能转变。围绕贯彻实施科教兴市、人才强市、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优化科技资源配置。推动政府部门不直接管理具体科研项目，委托项目管理专业机构开展项目受理、评审、立项、过程管理、验收等具体工作。对科研机构组建和调整事项不再进行审核，重在加强规划布局和绩效评价。进一步改进科技人才评价机制，统筹全市科技人才队伍建设和引进区外智力工作。</w:t>
      </w:r>
    </w:p>
    <w:p>
      <w:pPr>
        <w:spacing w:line="600" w:lineRule="exact"/>
        <w:ind w:left="424" w:leftChars="202" w:firstLine="178" w:firstLineChars="66"/>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eastAsia="黑体" w:cs="黑体"/>
          <w:b/>
          <w:bCs/>
          <w:sz w:val="32"/>
          <w:szCs w:val="36"/>
          <w:highlight w:val="none"/>
        </w:rPr>
        <w:t>二、赤峰市</w:t>
      </w:r>
      <w:r>
        <w:rPr>
          <w:rFonts w:hint="eastAsia" w:eastAsia="黑体" w:cs="黑体"/>
          <w:b/>
          <w:bCs/>
          <w:sz w:val="32"/>
          <w:szCs w:val="36"/>
          <w:highlight w:val="none"/>
          <w:lang w:val="en-US" w:eastAsia="zh-CN"/>
        </w:rPr>
        <w:t>科学技术局（部门）</w:t>
      </w:r>
      <w:r>
        <w:rPr>
          <w:rFonts w:hint="eastAsia" w:eastAsia="黑体" w:cs="黑体"/>
          <w:b/>
          <w:bCs/>
          <w:sz w:val="32"/>
          <w:szCs w:val="36"/>
          <w:highlight w:val="none"/>
        </w:rPr>
        <w:t>机构设置及决算单位构成情况</w:t>
      </w:r>
    </w:p>
    <w:p>
      <w:pPr>
        <w:widowControl/>
        <w:spacing w:before="240" w:after="240"/>
        <w:ind w:firstLine="540" w:firstLineChars="200"/>
        <w:rPr>
          <w:rFonts w:hint="eastAsia" w:ascii="仿宋" w:hAnsi="仿宋" w:eastAsia="仿宋" w:cs="仿宋"/>
          <w:color w:val="auto"/>
          <w:sz w:val="32"/>
          <w:szCs w:val="32"/>
          <w:lang w:val="en-US" w:eastAsia="zh-CN"/>
        </w:rPr>
      </w:pPr>
      <w:r>
        <w:rPr>
          <w:rFonts w:ascii="times_new_roman" w:hAnsi="times_new_roman" w:eastAsia="times_new_roman" w:cs="times_new_roman"/>
          <w:kern w:val="0"/>
          <w:sz w:val="27"/>
          <w:szCs w:val="27"/>
        </w:rPr>
        <w:t xml:space="preserve">  </w:t>
      </w:r>
      <w:r>
        <w:rPr>
          <w:rFonts w:hint="eastAsia" w:ascii="仿宋" w:hAnsi="仿宋" w:eastAsia="仿宋" w:cs="仿宋"/>
          <w:color w:val="auto"/>
          <w:sz w:val="32"/>
          <w:szCs w:val="32"/>
          <w:lang w:val="en-US" w:eastAsia="zh-CN"/>
        </w:rPr>
        <w:t> </w:t>
      </w:r>
      <w:r>
        <w:rPr>
          <w:rFonts w:hint="default" w:ascii="仿宋" w:hAnsi="仿宋" w:eastAsia="仿宋" w:cs="仿宋"/>
          <w:color w:val="auto"/>
          <w:sz w:val="32"/>
          <w:szCs w:val="32"/>
          <w:lang w:val="en-US" w:eastAsia="zh-CN"/>
        </w:rPr>
        <w:t>1.</w:t>
      </w:r>
      <w:r>
        <w:rPr>
          <w:rFonts w:hint="eastAsia" w:ascii="仿宋" w:hAnsi="仿宋" w:eastAsia="仿宋" w:cs="仿宋"/>
          <w:color w:val="auto"/>
          <w:sz w:val="32"/>
          <w:szCs w:val="32"/>
          <w:lang w:val="en-US" w:eastAsia="zh-CN"/>
        </w:rPr>
        <w:t>根据部门职责分工，本部门内设机构包括办公室、科技合作和成果转化科、规划和政策法规科、高新技术和基础研究科、农牧和社会科技科。本部门下属单位包括：赤峰市科技创新和成果转化中心。</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2.从决算单位构成看，纳入本财政汇总决算编制范围的预算单位共计2家，具体包括：赤峰市科学技术局（本级）、赤峰市科技创新和成果转化中心。详细情况见表：</w:t>
      </w:r>
    </w:p>
    <w:tbl>
      <w:tblPr>
        <w:tblStyle w:val="21"/>
        <w:tblW w:w="374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3"/>
        <w:gridCol w:w="3569"/>
        <w:gridCol w:w="319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384" w:type="pct"/>
            <w:tcBorders>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序号</w:t>
            </w:r>
          </w:p>
        </w:tc>
        <w:tc>
          <w:tcPr>
            <w:tcW w:w="243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单位名称</w:t>
            </w:r>
          </w:p>
        </w:tc>
        <w:tc>
          <w:tcPr>
            <w:tcW w:w="2180" w:type="pct"/>
            <w:tcBorders>
              <w:left w:val="inset" w:color="808080" w:sz="6" w:space="0"/>
              <w:bottom w:val="inset" w:color="808080" w:sz="6" w:space="0"/>
            </w:tcBorders>
            <w:noWrap w:val="0"/>
            <w:tcMar>
              <w:top w:w="22" w:type="dxa"/>
              <w:left w:w="22" w:type="dxa"/>
              <w:bottom w:w="22" w:type="dxa"/>
              <w:right w:w="22" w:type="dxa"/>
            </w:tcMar>
            <w:vAlign w:val="center"/>
          </w:tcPr>
          <w:p>
            <w:pPr>
              <w:widowControl/>
              <w:jc w:val="center"/>
              <w:rPr>
                <w:rFonts w:ascii="Times New Roman" w:hAnsi="Times New Roman" w:eastAsia="Times New Roman" w:cs="Times New Roman"/>
                <w:b w:val="0"/>
                <w:bCs w:val="0"/>
                <w:i w:val="0"/>
                <w:iCs w:val="0"/>
                <w:smallCaps w:val="0"/>
                <w:color w:val="000000"/>
                <w:kern w:val="0"/>
                <w:sz w:val="24"/>
              </w:rPr>
            </w:pPr>
            <w:r>
              <w:rPr>
                <w:rFonts w:ascii="fang_song_gb2312" w:hAnsi="fang_song_gb2312" w:eastAsia="fang_song_gb2312" w:cs="fang_song_gb2312"/>
                <w:b w:val="0"/>
                <w:bCs w:val="0"/>
                <w:i w:val="0"/>
                <w:iCs w:val="0"/>
                <w:smallCaps w:val="0"/>
                <w:color w:val="000000"/>
                <w:kern w:val="0"/>
                <w:sz w:val="24"/>
              </w:rPr>
              <w:t>单位性质</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trHeight w:val="369" w:hRule="atLeast"/>
          <w:jc w:val="center"/>
        </w:trPr>
        <w:tc>
          <w:tcPr>
            <w:tcW w:w="384"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rPr>
            </w:pPr>
            <w:r>
              <w:rPr>
                <w:rFonts w:hint="eastAsia" w:ascii="仿宋_GB2312" w:hAnsi="仿宋_GB2312" w:eastAsia="仿宋_GB2312" w:cs="Times New Roman"/>
                <w:color w:val="auto"/>
                <w:kern w:val="2"/>
                <w:sz w:val="32"/>
                <w:szCs w:val="24"/>
              </w:rPr>
              <w:t>1</w:t>
            </w:r>
          </w:p>
        </w:tc>
        <w:tc>
          <w:tcPr>
            <w:tcW w:w="243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rPr>
            </w:pPr>
            <w:r>
              <w:rPr>
                <w:rFonts w:hint="eastAsia" w:ascii="仿宋_GB2312" w:hAnsi="仿宋_GB2312" w:eastAsia="仿宋_GB2312" w:cs="Times New Roman"/>
                <w:color w:val="auto"/>
                <w:kern w:val="2"/>
                <w:sz w:val="32"/>
                <w:szCs w:val="24"/>
                <w:lang w:eastAsia="zh-CN"/>
              </w:rPr>
              <w:t>赤峰市科学技术局（本级）</w:t>
            </w:r>
          </w:p>
        </w:tc>
        <w:tc>
          <w:tcPr>
            <w:tcW w:w="2180"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rPr>
            </w:pPr>
            <w:r>
              <w:rPr>
                <w:rFonts w:hint="eastAsia" w:ascii="仿宋_GB2312" w:hAnsi="仿宋_GB2312" w:eastAsia="仿宋_GB2312" w:cs="Times New Roman"/>
                <w:color w:val="auto"/>
                <w:kern w:val="2"/>
                <w:sz w:val="32"/>
                <w:szCs w:val="24"/>
              </w:rPr>
              <w:t>财政拨款的行政单位</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384"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lang w:val="en-US" w:eastAsia="zh-CN"/>
              </w:rPr>
            </w:pPr>
            <w:r>
              <w:rPr>
                <w:rFonts w:hint="eastAsia" w:ascii="仿宋_GB2312" w:hAnsi="仿宋_GB2312" w:eastAsia="仿宋_GB2312" w:cs="Times New Roman"/>
                <w:color w:val="auto"/>
                <w:kern w:val="2"/>
                <w:sz w:val="32"/>
                <w:szCs w:val="24"/>
                <w:lang w:val="en-US" w:eastAsia="zh-CN"/>
              </w:rPr>
              <w:t>2</w:t>
            </w:r>
          </w:p>
        </w:tc>
        <w:tc>
          <w:tcPr>
            <w:tcW w:w="243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rPr>
            </w:pPr>
            <w:r>
              <w:rPr>
                <w:rFonts w:hint="eastAsia" w:ascii="仿宋_GB2312" w:hAnsi="仿宋_GB2312" w:eastAsia="仿宋_GB2312" w:cs="Times New Roman"/>
                <w:color w:val="auto"/>
                <w:kern w:val="2"/>
                <w:sz w:val="32"/>
                <w:szCs w:val="24"/>
              </w:rPr>
              <w:t>赤峰市科技创新和成果转化中心</w:t>
            </w:r>
          </w:p>
        </w:tc>
        <w:tc>
          <w:tcPr>
            <w:tcW w:w="2180"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pPr>
              <w:widowControl/>
              <w:spacing w:before="240" w:after="240"/>
              <w:rPr>
                <w:rFonts w:hint="eastAsia" w:ascii="仿宋_GB2312" w:hAnsi="仿宋_GB2312" w:eastAsia="仿宋_GB2312" w:cs="Times New Roman"/>
                <w:color w:val="auto"/>
                <w:kern w:val="2"/>
                <w:sz w:val="32"/>
                <w:szCs w:val="24"/>
              </w:rPr>
            </w:pPr>
            <w:r>
              <w:rPr>
                <w:rFonts w:hint="eastAsia" w:ascii="仿宋_GB2312" w:hAnsi="仿宋_GB2312" w:eastAsia="仿宋_GB2312" w:cs="Times New Roman"/>
                <w:color w:val="auto"/>
                <w:kern w:val="2"/>
                <w:sz w:val="32"/>
                <w:szCs w:val="24"/>
              </w:rPr>
              <w:t>公益一类事业单位</w:t>
            </w:r>
          </w:p>
        </w:tc>
      </w:tr>
    </w:tbl>
    <w:p>
      <w:pPr>
        <w:spacing w:line="600" w:lineRule="exact"/>
        <w:ind w:left="0" w:leftChars="0" w:firstLine="540" w:firstLineChars="200"/>
        <w:outlineLvl w:val="2"/>
        <w:rPr>
          <w:rFonts w:hint="eastAsia" w:eastAsia="黑体" w:cs="黑体"/>
          <w:b/>
          <w:bCs/>
          <w:sz w:val="32"/>
          <w:szCs w:val="36"/>
          <w:highlight w:val="none"/>
        </w:rPr>
      </w:pPr>
      <w:r>
        <w:rPr>
          <w:rFonts w:ascii="fang_song_gb2312" w:hAnsi="fang_song_gb2312" w:eastAsia="fang_song_gb2312" w:cs="fang_song_gb2312"/>
          <w:color w:val="0E00FE"/>
          <w:kern w:val="0"/>
          <w:sz w:val="27"/>
          <w:szCs w:val="27"/>
        </w:rPr>
        <w:t>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eastAsia="黑体" w:cs="黑体"/>
          <w:b/>
          <w:bCs/>
          <w:sz w:val="32"/>
          <w:szCs w:val="36"/>
          <w:highlight w:val="none"/>
        </w:rPr>
        <w:t>三、</w:t>
      </w:r>
      <w:r>
        <w:rPr>
          <w:rFonts w:hint="eastAsia" w:ascii="仿宋_GB2312" w:hAnsi="仿宋_GB2312" w:eastAsia="黑体" w:cs="黑体"/>
          <w:b/>
          <w:bCs/>
          <w:sz w:val="32"/>
          <w:szCs w:val="36"/>
          <w:highlight w:val="none"/>
          <w:lang w:val="en-US" w:eastAsia="zh-CN"/>
        </w:rPr>
        <w:t>2023</w:t>
      </w:r>
      <w:r>
        <w:rPr>
          <w:rFonts w:hint="eastAsia" w:eastAsia="黑体" w:cs="黑体"/>
          <w:b/>
          <w:bCs/>
          <w:sz w:val="32"/>
          <w:szCs w:val="36"/>
          <w:highlight w:val="none"/>
        </w:rPr>
        <w:t>年度</w:t>
      </w:r>
      <w:r>
        <w:rPr>
          <w:rFonts w:hint="eastAsia" w:eastAsia="黑体" w:cs="黑体"/>
          <w:b/>
          <w:bCs/>
          <w:sz w:val="32"/>
          <w:szCs w:val="36"/>
          <w:highlight w:val="none"/>
          <w:lang w:eastAsia="zh-CN"/>
        </w:rPr>
        <w:t>赤峰市</w:t>
      </w:r>
      <w:r>
        <w:rPr>
          <w:rFonts w:hint="eastAsia" w:eastAsia="黑体" w:cs="黑体"/>
          <w:b/>
          <w:bCs/>
          <w:sz w:val="32"/>
          <w:szCs w:val="36"/>
          <w:highlight w:val="none"/>
          <w:lang w:val="en-US" w:eastAsia="zh-CN"/>
        </w:rPr>
        <w:t>科学技术局</w:t>
      </w:r>
      <w:r>
        <w:rPr>
          <w:rFonts w:hint="eastAsia" w:eastAsia="黑体" w:cs="黑体"/>
          <w:b/>
          <w:bCs/>
          <w:sz w:val="32"/>
          <w:szCs w:val="36"/>
          <w:highlight w:val="none"/>
        </w:rPr>
        <w:t>主要工作完成情况</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2023年</w:t>
      </w:r>
      <w:r>
        <w:rPr>
          <w:rFonts w:hint="eastAsia" w:ascii="仿宋" w:hAnsi="仿宋" w:eastAsia="仿宋" w:cs="仿宋"/>
          <w:color w:val="auto"/>
          <w:sz w:val="32"/>
          <w:szCs w:val="32"/>
          <w:lang w:val="en" w:eastAsia="zh-CN"/>
        </w:rPr>
        <w:t>，</w:t>
      </w:r>
      <w:r>
        <w:rPr>
          <w:rFonts w:hint="eastAsia" w:ascii="仿宋" w:hAnsi="仿宋" w:eastAsia="仿宋" w:cs="仿宋"/>
          <w:color w:val="auto"/>
          <w:sz w:val="32"/>
          <w:szCs w:val="32"/>
          <w:lang w:val="en-US" w:eastAsia="zh-CN"/>
        </w:rPr>
        <w:t>在市委</w:t>
      </w:r>
      <w:r>
        <w:rPr>
          <w:rFonts w:hint="eastAsia" w:ascii="仿宋" w:hAnsi="仿宋" w:eastAsia="仿宋" w:cs="仿宋"/>
          <w:color w:val="auto"/>
          <w:sz w:val="32"/>
          <w:szCs w:val="32"/>
          <w:lang w:val="en" w:eastAsia="zh-CN"/>
        </w:rPr>
        <w:t>、</w:t>
      </w:r>
      <w:r>
        <w:rPr>
          <w:rFonts w:hint="eastAsia" w:ascii="仿宋" w:hAnsi="仿宋" w:eastAsia="仿宋" w:cs="仿宋"/>
          <w:color w:val="auto"/>
          <w:sz w:val="32"/>
          <w:szCs w:val="32"/>
          <w:lang w:val="en-US" w:eastAsia="zh-CN"/>
        </w:rPr>
        <w:t>市政府的坚强领导下，全市科技系统坚持以习近平新时代中国特色社会主义思想为指导，深入学习贯彻党的二十大、二十届二中全会精神和习近平总书记关于科技创新的重要论述，深入实施“科技兴蒙”行动，大力推动“创新赤峰”建设，全市科技创新各项工作迈上新台阶。</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厚植科技创新沃土，优化科技创新发展环境。一是科技创新体系逐步完善。推动市委、市政府先后出台《关于建设创新赤峰的实施意见》、《赤峰市科技创新三年行动方案（2023－2025年）》、《“蒙科聚”（赤峰）创新驱动平台建设实施方案》、《赤峰市产业创新研究院建设方案》等政策文件，配套起草《关于进一步加强科技创新工作的意见》，</w:t>
      </w:r>
      <w:r>
        <w:rPr>
          <w:rFonts w:hint="default" w:ascii="仿宋" w:hAnsi="仿宋" w:eastAsia="仿宋" w:cs="仿宋"/>
          <w:color w:val="auto"/>
          <w:sz w:val="32"/>
          <w:szCs w:val="32"/>
          <w:lang w:val="en-US" w:eastAsia="zh-CN"/>
        </w:rPr>
        <w:t>谋划</w:t>
      </w:r>
      <w:r>
        <w:rPr>
          <w:rFonts w:hint="eastAsia" w:ascii="仿宋" w:hAnsi="仿宋" w:eastAsia="仿宋" w:cs="仿宋"/>
          <w:color w:val="auto"/>
          <w:sz w:val="32"/>
          <w:szCs w:val="32"/>
          <w:lang w:val="en-US" w:eastAsia="zh-CN"/>
        </w:rPr>
        <w:t>“创新赤峰”建设的</w:t>
      </w:r>
      <w:r>
        <w:rPr>
          <w:rFonts w:hint="default" w:ascii="仿宋" w:hAnsi="仿宋" w:eastAsia="仿宋" w:cs="仿宋"/>
          <w:color w:val="auto"/>
          <w:sz w:val="32"/>
          <w:szCs w:val="32"/>
          <w:lang w:val="en-US" w:eastAsia="zh-CN"/>
        </w:rPr>
        <w:t>具体实施路径。</w:t>
      </w:r>
      <w:r>
        <w:rPr>
          <w:rFonts w:hint="eastAsia" w:ascii="仿宋" w:hAnsi="仿宋" w:eastAsia="仿宋" w:cs="仿宋"/>
          <w:color w:val="auto"/>
          <w:sz w:val="32"/>
          <w:szCs w:val="32"/>
          <w:lang w:val="en-US" w:eastAsia="zh-CN"/>
        </w:rPr>
        <w:t>二是科技创新</w:t>
      </w:r>
      <w:r>
        <w:rPr>
          <w:rFonts w:hint="default" w:ascii="仿宋" w:hAnsi="仿宋" w:eastAsia="仿宋" w:cs="仿宋"/>
          <w:color w:val="auto"/>
          <w:sz w:val="32"/>
          <w:szCs w:val="32"/>
          <w:lang w:val="en-US" w:eastAsia="zh-CN"/>
        </w:rPr>
        <w:t>政策</w:t>
      </w:r>
      <w:r>
        <w:rPr>
          <w:rFonts w:hint="eastAsia" w:ascii="仿宋" w:hAnsi="仿宋" w:eastAsia="仿宋" w:cs="仿宋"/>
          <w:color w:val="auto"/>
          <w:sz w:val="32"/>
          <w:szCs w:val="32"/>
          <w:lang w:val="en-US" w:eastAsia="zh-CN"/>
        </w:rPr>
        <w:t>扎实落地。2023年，兑现2021年度科技创新奖补资金1572.62万元，受惠企业58家；审核2022年度“免申即享”科技创新奖补资金2794.1万元。组织鉴定加计研发费用加计扣除异议项目148个，通过130个，减免税收6.3亿元，推动科技惠企政策应享尽享。召开政银企对接会和科技保险工作座谈会，推动解决科技企业融资难问题。截至目前，赤峰市辖内银行业支持科技创新贷款余额8.4亿元。三是科技创新服务持续优化。开展科技工作“三服务”、千名科技人员服务基层、科技特派员服务乡村振兴、2023年科技活动周等活动，深入基层和企业宣讲科技政策600余次，提供政策咨询服务380余次，发放《科技政策法规汇编》等政策读本1300余册，协助谋划科技创新路线，指导开展科技创新工作，解决企业难题100余个。组织参加</w:t>
      </w:r>
      <w:r>
        <w:rPr>
          <w:rFonts w:hint="default" w:ascii="仿宋" w:hAnsi="仿宋" w:eastAsia="仿宋" w:cs="仿宋"/>
          <w:color w:val="auto"/>
          <w:sz w:val="32"/>
          <w:szCs w:val="32"/>
          <w:lang w:val="en-US" w:eastAsia="zh-CN"/>
        </w:rPr>
        <w:t>202</w:t>
      </w:r>
      <w:r>
        <w:rPr>
          <w:rFonts w:hint="eastAsia" w:ascii="仿宋" w:hAnsi="仿宋" w:eastAsia="仿宋" w:cs="仿宋"/>
          <w:color w:val="auto"/>
          <w:sz w:val="32"/>
          <w:szCs w:val="32"/>
          <w:lang w:val="en-US" w:eastAsia="zh-CN"/>
        </w:rPr>
        <w:t>3</w:t>
      </w:r>
      <w:r>
        <w:rPr>
          <w:rFonts w:hint="default" w:ascii="仿宋" w:hAnsi="仿宋" w:eastAsia="仿宋" w:cs="仿宋"/>
          <w:color w:val="auto"/>
          <w:sz w:val="32"/>
          <w:szCs w:val="32"/>
          <w:lang w:val="en-US" w:eastAsia="zh-CN"/>
        </w:rPr>
        <w:t>年全区科普讲解大赛</w:t>
      </w:r>
      <w:r>
        <w:rPr>
          <w:rFonts w:hint="eastAsia" w:ascii="仿宋" w:hAnsi="仿宋" w:eastAsia="仿宋" w:cs="仿宋"/>
          <w:color w:val="auto"/>
          <w:sz w:val="32"/>
          <w:szCs w:val="32"/>
          <w:lang w:val="en-US" w:eastAsia="zh-CN"/>
        </w:rPr>
        <w:t>，4名参赛选手获得自治区科普讲解大赛优秀奖，有3部科普作品入选自治区优秀科普作品，8个代表队在2023年全国科学实验展演汇演活动内蒙古选拔赛获得三等奖和优秀奖，市科技局荣获自治区科普讲解大赛优秀组织奖。</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提升创新平台能级，集聚科技创新要素。一是赤峰市产业创新研究院建成运行。召开产研院建设领导小组第一次会议，完成事业单位法人注册、财政零余额账户注册及预算申请等工作。积极推动产研院战略合作平台和专业研究院建设，有效促进产学研深度融合，为赤峰市各领域产业创新科技发展注入崭新动能。二是“蒙科聚”赤峰分中心运行良好。首次以科技厅和盟市政府名义共同在呼市主办“蒙科聚”发布会，发布了新型固体储热科技成果并取得强烈反响，承办自治区“</w:t>
      </w:r>
      <w:r>
        <w:rPr>
          <w:rFonts w:hint="default" w:ascii="仿宋" w:hAnsi="仿宋" w:eastAsia="仿宋" w:cs="仿宋"/>
          <w:color w:val="auto"/>
          <w:sz w:val="32"/>
          <w:szCs w:val="32"/>
          <w:lang w:val="en-US" w:eastAsia="zh-CN"/>
        </w:rPr>
        <w:t>蒙科聚</w:t>
      </w:r>
      <w:r>
        <w:rPr>
          <w:rFonts w:hint="eastAsia" w:ascii="仿宋" w:hAnsi="仿宋" w:eastAsia="仿宋" w:cs="仿宋"/>
          <w:color w:val="auto"/>
          <w:sz w:val="32"/>
          <w:szCs w:val="32"/>
          <w:lang w:val="en-US" w:eastAsia="zh-CN"/>
        </w:rPr>
        <w:t>”第四期专题发布会。组织完成“蒙科聚”网站注册科技人才699人，注册企业453家，发布科技成果20项、科技需求101项、工作信息122条。三是区域协同创新平台效能日益显著。开展走进</w:t>
      </w:r>
      <w:r>
        <w:rPr>
          <w:rFonts w:hint="default" w:ascii="仿宋" w:hAnsi="仿宋" w:eastAsia="仿宋" w:cs="仿宋"/>
          <w:color w:val="auto"/>
          <w:sz w:val="32"/>
          <w:szCs w:val="32"/>
          <w:lang w:val="en" w:eastAsia="zh-CN"/>
        </w:rPr>
        <w:t>中国科学院成果对接发布暨</w:t>
      </w:r>
      <w:r>
        <w:rPr>
          <w:rFonts w:hint="eastAsia" w:ascii="仿宋" w:hAnsi="仿宋" w:eastAsia="仿宋" w:cs="仿宋"/>
          <w:color w:val="auto"/>
          <w:sz w:val="32"/>
          <w:szCs w:val="32"/>
          <w:lang w:val="en-US" w:eastAsia="zh-CN"/>
        </w:rPr>
        <w:t>院士大讲堂、富勒烯产业创新大会、概念验证大赛等大型活动11场，活动共邀请6名院士、120余名专家教授来赤对接交流科技合作，累计引进发布科技成果50项，促成科技成果成功签约合作22项。开展走访对接活动98次，走访企业110余家，征集科技合作需求190项，解决企业技术难题70余项。四是自治区设施蔬菜种业技术创新中心建设稳步推进。2个辣椒品种通过农业农村部品种登记，授权知识产权13项，2项技术列为内蒙古自治区农牧业主推技术，示范设施蔬菜新品种新技术9.77万亩，辐射带动115.6万亩以上，实现社会效益11亿元以上。五是赤峰高新区晋升工作基石加厚。推动赤峰高新区内56家企业成功备案科技型中小企业，18家企业通过国家高新技术企业认定，新增市级创新平台5家，入库高新技术企业培育库企业3家。六是专业创新平台载体建设成绩突出。巴林左旗成功入选国家创新型县（市）建设名单，2家内蒙古自治区重点实验室完成优化重组，新增自治区级创新平台5家，备案自治区创新联合体1家；新认定市级创新平台20家。积极谋划建设有色金属实验室，开展征集需求、专题调研等工作，进一步明晰建设思路。</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强化企业主体地位，激发企业创新活力。一是创新型企业培育再创新高。截至目前，全市成功备案国家科技型中小企业183家，同比增长33.57%；新增国家高新技术企业21家，总数达到148家，居全区第4位；有11家企业入选市级高新技术企业培育库，获批自治区科技领军企业1家。二是企业研发投入大幅提升。2022年，赤峰市共投入研究与试验发展（R&amp;D）经费6.3亿元，较上年增加2.2亿元，增长53.7%；研究与试验发展（R&amp;D）经费投入强度为0.29%，同比增长38%。三是</w:t>
      </w:r>
      <w:r>
        <w:rPr>
          <w:rFonts w:hint="default" w:ascii="仿宋" w:hAnsi="仿宋" w:eastAsia="仿宋" w:cs="仿宋"/>
          <w:color w:val="auto"/>
          <w:sz w:val="32"/>
          <w:szCs w:val="32"/>
          <w:lang w:val="en-US" w:eastAsia="zh-CN"/>
        </w:rPr>
        <w:t>规上工业企业</w:t>
      </w:r>
      <w:r>
        <w:rPr>
          <w:rFonts w:hint="eastAsia" w:ascii="仿宋" w:hAnsi="仿宋" w:eastAsia="仿宋" w:cs="仿宋"/>
          <w:color w:val="auto"/>
          <w:sz w:val="32"/>
          <w:szCs w:val="32"/>
          <w:lang w:val="en-US" w:eastAsia="zh-CN"/>
        </w:rPr>
        <w:t>“三清零”行动取得新突破。选派企业科技特派员280余人，为全市600余家次企业提供科技服务，开展科技政策培训66次，协助企业解决技术难题26个，引导推动69家规上工业企业实现</w:t>
      </w:r>
      <w:r>
        <w:rPr>
          <w:rFonts w:hint="default" w:ascii="仿宋" w:hAnsi="仿宋" w:eastAsia="仿宋" w:cs="仿宋"/>
          <w:color w:val="auto"/>
          <w:sz w:val="32"/>
          <w:szCs w:val="32"/>
          <w:lang w:val="en-US" w:eastAsia="zh-CN"/>
        </w:rPr>
        <w:t>设立研发机构、开展研发活动、增加研发投入</w:t>
      </w:r>
      <w:r>
        <w:rPr>
          <w:rFonts w:hint="eastAsia" w:ascii="仿宋" w:hAnsi="仿宋" w:eastAsia="仿宋" w:cs="仿宋"/>
          <w:color w:val="auto"/>
          <w:sz w:val="32"/>
          <w:szCs w:val="32"/>
          <w:lang w:val="en-US" w:eastAsia="zh-CN"/>
        </w:rPr>
        <w:t>“三个全覆盖”。</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w:t>
      </w:r>
      <w:r>
        <w:rPr>
          <w:rFonts w:hint="default" w:ascii="仿宋" w:hAnsi="仿宋" w:eastAsia="仿宋" w:cs="仿宋"/>
          <w:color w:val="auto"/>
          <w:sz w:val="32"/>
          <w:szCs w:val="32"/>
          <w:lang w:val="en-US" w:eastAsia="zh-CN"/>
        </w:rPr>
        <w:t>强化核心技术攻关</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赋能产业高质量发展</w:t>
      </w:r>
      <w:r>
        <w:rPr>
          <w:rFonts w:hint="eastAsia" w:ascii="仿宋" w:hAnsi="仿宋" w:eastAsia="仿宋" w:cs="仿宋"/>
          <w:color w:val="auto"/>
          <w:sz w:val="32"/>
          <w:szCs w:val="32"/>
          <w:lang w:val="en-US" w:eastAsia="zh-CN"/>
        </w:rPr>
        <w:t>。一是全力争取上级科技项目资金。截至目前，争取自治区科技计划项目50项，获批自治区科技项目专项资金6482.4万元，引导社会投入1.1亿元，激发赤峰全</w:t>
      </w:r>
      <w:r>
        <w:rPr>
          <w:rFonts w:hint="default" w:ascii="仿宋" w:hAnsi="仿宋" w:eastAsia="仿宋" w:cs="仿宋"/>
          <w:color w:val="auto"/>
          <w:sz w:val="32"/>
          <w:szCs w:val="32"/>
          <w:lang w:val="en-US" w:eastAsia="zh-CN"/>
        </w:rPr>
        <w:t>社会研发活力</w:t>
      </w:r>
      <w:r>
        <w:rPr>
          <w:rFonts w:hint="eastAsia" w:ascii="仿宋" w:hAnsi="仿宋" w:eastAsia="仿宋" w:cs="仿宋"/>
          <w:color w:val="auto"/>
          <w:sz w:val="32"/>
          <w:szCs w:val="32"/>
          <w:lang w:val="en-US" w:eastAsia="zh-CN"/>
        </w:rPr>
        <w:t>。二是组织实施产业技术攻关。组织</w:t>
      </w:r>
      <w:r>
        <w:rPr>
          <w:rFonts w:hint="default" w:ascii="仿宋" w:hAnsi="仿宋" w:eastAsia="仿宋" w:cs="仿宋"/>
          <w:color w:val="auto"/>
          <w:sz w:val="32"/>
          <w:szCs w:val="32"/>
          <w:lang w:val="en-US" w:eastAsia="zh-CN"/>
        </w:rPr>
        <w:t>实施科技特派</w:t>
      </w:r>
      <w:r>
        <w:rPr>
          <w:rFonts w:hint="eastAsia" w:ascii="仿宋" w:hAnsi="仿宋" w:eastAsia="仿宋" w:cs="仿宋"/>
          <w:color w:val="auto"/>
          <w:sz w:val="32"/>
          <w:szCs w:val="32"/>
          <w:lang w:val="en-US" w:eastAsia="zh-CN"/>
        </w:rPr>
        <w:t>员</w:t>
      </w:r>
      <w:r>
        <w:rPr>
          <w:rFonts w:hint="default" w:ascii="仿宋" w:hAnsi="仿宋" w:eastAsia="仿宋" w:cs="仿宋"/>
          <w:color w:val="auto"/>
          <w:sz w:val="32"/>
          <w:szCs w:val="32"/>
          <w:lang w:val="en-US" w:eastAsia="zh-CN"/>
        </w:rPr>
        <w:t>助力乡村</w:t>
      </w:r>
      <w:r>
        <w:rPr>
          <w:rFonts w:hint="eastAsia" w:ascii="仿宋" w:hAnsi="仿宋" w:eastAsia="仿宋" w:cs="仿宋"/>
          <w:color w:val="auto"/>
          <w:sz w:val="32"/>
          <w:szCs w:val="32"/>
          <w:lang w:val="en-US" w:eastAsia="zh-CN"/>
        </w:rPr>
        <w:t>振兴</w:t>
      </w:r>
      <w:r>
        <w:rPr>
          <w:rFonts w:hint="default" w:ascii="仿宋" w:hAnsi="仿宋" w:eastAsia="仿宋" w:cs="仿宋"/>
          <w:color w:val="auto"/>
          <w:sz w:val="32"/>
          <w:szCs w:val="32"/>
          <w:lang w:val="en-US" w:eastAsia="zh-CN"/>
        </w:rPr>
        <w:t>项目</w:t>
      </w:r>
      <w:r>
        <w:rPr>
          <w:rFonts w:hint="eastAsia" w:ascii="仿宋" w:hAnsi="仿宋" w:eastAsia="仿宋" w:cs="仿宋"/>
          <w:color w:val="auto"/>
          <w:sz w:val="32"/>
          <w:szCs w:val="32"/>
          <w:lang w:val="en-US" w:eastAsia="zh-CN"/>
        </w:rPr>
        <w:t>4个，</w:t>
      </w:r>
      <w:r>
        <w:rPr>
          <w:rFonts w:hint="default" w:ascii="仿宋" w:hAnsi="仿宋" w:eastAsia="仿宋" w:cs="仿宋"/>
          <w:color w:val="auto"/>
          <w:sz w:val="32"/>
          <w:szCs w:val="32"/>
          <w:lang w:val="en-US" w:eastAsia="zh-CN"/>
        </w:rPr>
        <w:t>支持</w:t>
      </w:r>
      <w:r>
        <w:rPr>
          <w:rFonts w:hint="eastAsia" w:ascii="仿宋" w:hAnsi="仿宋" w:eastAsia="仿宋" w:cs="仿宋"/>
          <w:color w:val="auto"/>
          <w:sz w:val="32"/>
          <w:szCs w:val="32"/>
          <w:lang w:val="en-US" w:eastAsia="zh-CN"/>
        </w:rPr>
        <w:t>科技</w:t>
      </w:r>
      <w:r>
        <w:rPr>
          <w:rFonts w:hint="default" w:ascii="仿宋" w:hAnsi="仿宋" w:eastAsia="仿宋" w:cs="仿宋"/>
          <w:color w:val="auto"/>
          <w:sz w:val="32"/>
          <w:szCs w:val="32"/>
          <w:lang w:val="en-US" w:eastAsia="zh-CN"/>
        </w:rPr>
        <w:t>资金</w:t>
      </w:r>
      <w:r>
        <w:rPr>
          <w:rFonts w:hint="eastAsia" w:ascii="仿宋" w:hAnsi="仿宋" w:eastAsia="仿宋" w:cs="仿宋"/>
          <w:color w:val="auto"/>
          <w:sz w:val="32"/>
          <w:szCs w:val="32"/>
          <w:lang w:val="en-US" w:eastAsia="zh-CN"/>
        </w:rPr>
        <w:t>80万元；联合中国科学院、上海交通大学共同实施</w:t>
      </w:r>
      <w:r>
        <w:rPr>
          <w:rFonts w:hint="default" w:ascii="仿宋" w:hAnsi="仿宋" w:eastAsia="仿宋" w:cs="仿宋"/>
          <w:color w:val="auto"/>
          <w:sz w:val="32"/>
          <w:szCs w:val="32"/>
          <w:lang w:val="en-US" w:eastAsia="zh-CN"/>
        </w:rPr>
        <w:t>科技合作项目</w:t>
      </w:r>
      <w:r>
        <w:rPr>
          <w:rFonts w:hint="eastAsia" w:ascii="仿宋" w:hAnsi="仿宋" w:eastAsia="仿宋" w:cs="仿宋"/>
          <w:color w:val="auto"/>
          <w:sz w:val="32"/>
          <w:szCs w:val="32"/>
          <w:lang w:val="en-US" w:eastAsia="zh-CN"/>
        </w:rPr>
        <w:t>13个，项目总投入经费3799万元，其中科技专项经费1872万元，满足产业转型升级需求。三是支持企业承接重大科技项目。支持企业牵头</w:t>
      </w:r>
      <w:r>
        <w:rPr>
          <w:rFonts w:hint="default" w:ascii="仿宋" w:hAnsi="仿宋" w:eastAsia="仿宋" w:cs="仿宋"/>
          <w:color w:val="auto"/>
          <w:sz w:val="32"/>
          <w:szCs w:val="32"/>
          <w:lang w:val="en-US" w:eastAsia="zh-CN"/>
        </w:rPr>
        <w:t>组建创新联合体承担</w:t>
      </w:r>
      <w:r>
        <w:rPr>
          <w:rFonts w:hint="eastAsia" w:ascii="仿宋" w:hAnsi="仿宋" w:eastAsia="仿宋" w:cs="仿宋"/>
          <w:color w:val="auto"/>
          <w:sz w:val="32"/>
          <w:szCs w:val="32"/>
          <w:lang w:val="en-US" w:eastAsia="zh-CN"/>
        </w:rPr>
        <w:t>自治区</w:t>
      </w:r>
      <w:r>
        <w:rPr>
          <w:rFonts w:hint="default" w:ascii="仿宋" w:hAnsi="仿宋" w:eastAsia="仿宋" w:cs="仿宋"/>
          <w:color w:val="auto"/>
          <w:sz w:val="32"/>
          <w:szCs w:val="32"/>
          <w:lang w:val="en-US" w:eastAsia="zh-CN"/>
        </w:rPr>
        <w:t>重大科技项目</w:t>
      </w:r>
      <w:r>
        <w:rPr>
          <w:rFonts w:hint="eastAsia" w:ascii="仿宋" w:hAnsi="仿宋" w:eastAsia="仿宋" w:cs="仿宋"/>
          <w:color w:val="auto"/>
          <w:sz w:val="32"/>
          <w:szCs w:val="32"/>
          <w:lang w:val="en-US" w:eastAsia="zh-CN"/>
        </w:rPr>
        <w:t>，全市组建市级创新联合体31个，备案自治区创新联合体9个。内蒙古人工饲草高效用水技术创新联合体成功揭榜“内蒙古黄河流域饲草带高效节水关键技术研究与示范”项目，总投资1600万元，解决</w:t>
      </w:r>
      <w:r>
        <w:rPr>
          <w:rFonts w:hint="default" w:ascii="仿宋" w:hAnsi="仿宋" w:eastAsia="仿宋" w:cs="仿宋"/>
          <w:color w:val="auto"/>
          <w:sz w:val="32"/>
          <w:szCs w:val="32"/>
          <w:lang w:val="en-US" w:eastAsia="zh-CN"/>
        </w:rPr>
        <w:t>产业发展的</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卡脖子</w:t>
      </w:r>
      <w:r>
        <w:rPr>
          <w:rFonts w:hint="eastAsia" w:ascii="仿宋" w:hAnsi="仿宋" w:eastAsia="仿宋" w:cs="仿宋"/>
          <w:color w:val="auto"/>
          <w:sz w:val="32"/>
          <w:szCs w:val="32"/>
          <w:lang w:val="en-US" w:eastAsia="zh-CN"/>
        </w:rPr>
        <w:t>”</w:t>
      </w:r>
      <w:r>
        <w:rPr>
          <w:rFonts w:hint="default" w:ascii="仿宋" w:hAnsi="仿宋" w:eastAsia="仿宋" w:cs="仿宋"/>
          <w:color w:val="auto"/>
          <w:sz w:val="32"/>
          <w:szCs w:val="32"/>
          <w:lang w:val="en-US" w:eastAsia="zh-CN"/>
        </w:rPr>
        <w:t>技术难题，</w:t>
      </w:r>
      <w:r>
        <w:rPr>
          <w:rFonts w:hint="eastAsia" w:ascii="仿宋" w:hAnsi="仿宋" w:eastAsia="仿宋" w:cs="仿宋"/>
          <w:color w:val="auto"/>
          <w:sz w:val="32"/>
          <w:szCs w:val="32"/>
          <w:lang w:val="en-US" w:eastAsia="zh-CN"/>
        </w:rPr>
        <w:t>提高</w:t>
      </w:r>
      <w:r>
        <w:rPr>
          <w:rFonts w:hint="default" w:ascii="仿宋" w:hAnsi="仿宋" w:eastAsia="仿宋" w:cs="仿宋"/>
          <w:color w:val="auto"/>
          <w:sz w:val="32"/>
          <w:szCs w:val="32"/>
          <w:lang w:val="en-US" w:eastAsia="zh-CN"/>
        </w:rPr>
        <w:t>重大科技成果转化和产业</w:t>
      </w:r>
      <w:r>
        <w:rPr>
          <w:rFonts w:hint="eastAsia" w:ascii="仿宋" w:hAnsi="仿宋" w:eastAsia="仿宋" w:cs="仿宋"/>
          <w:color w:val="auto"/>
          <w:sz w:val="32"/>
          <w:szCs w:val="32"/>
          <w:lang w:val="en-US" w:eastAsia="zh-CN"/>
        </w:rPr>
        <w:t>水平</w:t>
      </w:r>
      <w:r>
        <w:rPr>
          <w:rFonts w:hint="default" w:ascii="仿宋" w:hAnsi="仿宋" w:eastAsia="仿宋" w:cs="仿宋"/>
          <w:color w:val="auto"/>
          <w:sz w:val="32"/>
          <w:szCs w:val="32"/>
          <w:lang w:val="en-US" w:eastAsia="zh-CN"/>
        </w:rPr>
        <w:t>。</w:t>
      </w:r>
    </w:p>
    <w:p>
      <w:pPr>
        <w:widowControl/>
        <w:spacing w:before="240" w:after="240"/>
        <w:ind w:firstLine="640" w:firstLineChars="200"/>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加快科技成果转化，加速形成新质生产力。一是科技成果供给能力不断提高。2023年，验收各级成果转化项目38项，投入财政经费9689.2万元，带动社会资金投入2.23亿元。内蒙古梅捷新能源科技有限公司在国内率先应用新型固体储热技术进行新能源消纳；祈蒙股份有限公司牵头研发形成</w:t>
      </w:r>
      <w:r>
        <w:rPr>
          <w:rFonts w:hint="eastAsia" w:ascii="仿宋" w:hAnsi="仿宋" w:eastAsia="仿宋" w:cs="仿宋"/>
          <w:color w:val="auto"/>
          <w:sz w:val="32"/>
          <w:szCs w:val="32"/>
          <w:lang w:val="en" w:eastAsia="zh-CN"/>
        </w:rPr>
        <w:t>中药（蒙药）</w:t>
      </w:r>
      <w:r>
        <w:rPr>
          <w:rFonts w:hint="eastAsia" w:ascii="仿宋" w:hAnsi="仿宋" w:eastAsia="仿宋" w:cs="仿宋"/>
          <w:color w:val="auto"/>
          <w:sz w:val="32"/>
          <w:szCs w:val="32"/>
          <w:lang w:val="en-US" w:eastAsia="zh-CN"/>
        </w:rPr>
        <w:t>配方颗粒工艺标准规程48项填补国内空白；赤峰艾克制药科技股份有限公司研究的酶法合成盐酸麻黄碱合成工艺技术为国内首创。二是科技成果转化服务能力不断提高。目前，</w:t>
      </w:r>
      <w:r>
        <w:rPr>
          <w:rFonts w:hint="eastAsia" w:ascii="仿宋" w:hAnsi="仿宋" w:eastAsia="仿宋" w:cs="仿宋"/>
          <w:color w:val="auto"/>
          <w:sz w:val="32"/>
          <w:szCs w:val="32"/>
          <w:lang w:val="en" w:eastAsia="zh-CN"/>
        </w:rPr>
        <w:t>国家级和</w:t>
      </w:r>
      <w:r>
        <w:rPr>
          <w:rFonts w:hint="eastAsia" w:ascii="仿宋" w:hAnsi="仿宋" w:eastAsia="仿宋" w:cs="仿宋"/>
          <w:color w:val="auto"/>
          <w:sz w:val="32"/>
          <w:szCs w:val="32"/>
          <w:lang w:val="en-US" w:eastAsia="zh-CN"/>
        </w:rPr>
        <w:t>自治区级</w:t>
      </w:r>
      <w:r>
        <w:rPr>
          <w:rFonts w:hint="default" w:ascii="仿宋" w:hAnsi="仿宋" w:eastAsia="仿宋" w:cs="仿宋"/>
          <w:color w:val="auto"/>
          <w:sz w:val="32"/>
          <w:szCs w:val="32"/>
          <w:lang w:val="en" w:eastAsia="zh-CN"/>
        </w:rPr>
        <w:t>孵化</w:t>
      </w:r>
      <w:r>
        <w:rPr>
          <w:rFonts w:hint="eastAsia" w:ascii="仿宋" w:hAnsi="仿宋" w:eastAsia="仿宋" w:cs="仿宋"/>
          <w:color w:val="auto"/>
          <w:sz w:val="32"/>
          <w:szCs w:val="32"/>
          <w:lang w:val="en" w:eastAsia="zh-CN"/>
        </w:rPr>
        <w:t>平台</w:t>
      </w: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lang w:val="en" w:eastAsia="zh-CN"/>
        </w:rPr>
        <w:t>家，在孵企业</w:t>
      </w:r>
      <w:r>
        <w:rPr>
          <w:rFonts w:hint="eastAsia" w:ascii="仿宋" w:hAnsi="仿宋" w:eastAsia="仿宋" w:cs="仿宋"/>
          <w:color w:val="auto"/>
          <w:sz w:val="32"/>
          <w:szCs w:val="32"/>
          <w:lang w:val="en-US" w:eastAsia="zh-CN"/>
        </w:rPr>
        <w:t>324</w:t>
      </w:r>
      <w:r>
        <w:rPr>
          <w:rFonts w:hint="eastAsia" w:ascii="仿宋" w:hAnsi="仿宋" w:eastAsia="仿宋" w:cs="仿宋"/>
          <w:color w:val="auto"/>
          <w:sz w:val="32"/>
          <w:szCs w:val="32"/>
          <w:lang w:val="en" w:eastAsia="zh-CN"/>
        </w:rPr>
        <w:t>家，在孵企业拥有知识产权</w:t>
      </w:r>
      <w:r>
        <w:rPr>
          <w:rFonts w:hint="eastAsia" w:ascii="仿宋" w:hAnsi="仿宋" w:eastAsia="仿宋" w:cs="仿宋"/>
          <w:color w:val="auto"/>
          <w:sz w:val="32"/>
          <w:szCs w:val="32"/>
          <w:lang w:val="en-US" w:eastAsia="zh-CN"/>
        </w:rPr>
        <w:t>413个，</w:t>
      </w:r>
      <w:r>
        <w:rPr>
          <w:rFonts w:hint="eastAsia" w:ascii="仿宋" w:hAnsi="仿宋" w:eastAsia="仿宋" w:cs="仿宋"/>
          <w:color w:val="auto"/>
          <w:sz w:val="32"/>
          <w:szCs w:val="32"/>
          <w:lang w:val="en" w:eastAsia="zh-CN"/>
        </w:rPr>
        <w:t>累计毕业企业</w:t>
      </w:r>
      <w:r>
        <w:rPr>
          <w:rFonts w:hint="eastAsia" w:ascii="仿宋" w:hAnsi="仿宋" w:eastAsia="仿宋" w:cs="仿宋"/>
          <w:color w:val="auto"/>
          <w:sz w:val="32"/>
          <w:szCs w:val="32"/>
          <w:lang w:val="en-US" w:eastAsia="zh-CN"/>
        </w:rPr>
        <w:t>379</w:t>
      </w:r>
      <w:r>
        <w:rPr>
          <w:rFonts w:hint="eastAsia" w:ascii="仿宋" w:hAnsi="仿宋" w:eastAsia="仿宋" w:cs="仿宋"/>
          <w:color w:val="auto"/>
          <w:sz w:val="32"/>
          <w:szCs w:val="32"/>
          <w:lang w:val="en" w:eastAsia="zh-CN"/>
        </w:rPr>
        <w:t>家，</w:t>
      </w:r>
      <w:r>
        <w:rPr>
          <w:rFonts w:hint="eastAsia" w:ascii="仿宋" w:hAnsi="仿宋" w:eastAsia="仿宋" w:cs="仿宋"/>
          <w:color w:val="auto"/>
          <w:sz w:val="32"/>
          <w:szCs w:val="32"/>
          <w:lang w:val="en-US" w:eastAsia="zh-CN"/>
        </w:rPr>
        <w:t>不断提高科技成果转化和产业化水平。三是科技成果技术水平不断提高。我市获得2022年度自治区科学技术奖9项，占盟市总数的五分之一，居盟市第3位。四是技术交易贡献不断提高。2023年，全市共登记技术合同248项，技术合同成交额达到3.76亿元，同比增长</w:t>
      </w:r>
      <w:r>
        <w:rPr>
          <w:rFonts w:hint="default" w:ascii="仿宋" w:hAnsi="仿宋" w:eastAsia="仿宋" w:cs="仿宋"/>
          <w:color w:val="auto"/>
          <w:sz w:val="32"/>
          <w:szCs w:val="32"/>
          <w:lang w:val="en-US" w:eastAsia="zh-CN"/>
        </w:rPr>
        <w:t>75.7</w:t>
      </w:r>
      <w:r>
        <w:rPr>
          <w:rFonts w:hint="eastAsia" w:ascii="仿宋" w:hAnsi="仿宋" w:eastAsia="仿宋" w:cs="仿宋"/>
          <w:color w:val="auto"/>
          <w:sz w:val="32"/>
          <w:szCs w:val="32"/>
          <w:lang w:val="en-US" w:eastAsia="zh-CN"/>
        </w:rPr>
        <w:t>0%，登记科技成果166项，同比增长55.14%，实现了我市12个旗县区技术合同和科技成果登记的“双清零”。</w:t>
      </w:r>
      <w:r>
        <w:rPr>
          <w:rFonts w:hint="default" w:ascii="仿宋" w:hAnsi="仿宋" w:eastAsia="仿宋" w:cs="仿宋"/>
          <w:color w:val="auto"/>
          <w:sz w:val="32"/>
          <w:szCs w:val="32"/>
          <w:lang w:val="en-US" w:eastAsia="zh-CN"/>
        </w:rPr>
        <w:t>完成科技成果评价5项</w:t>
      </w:r>
      <w:r>
        <w:rPr>
          <w:rFonts w:hint="eastAsia" w:ascii="仿宋" w:hAnsi="仿宋" w:eastAsia="仿宋" w:cs="仿宋"/>
          <w:color w:val="auto"/>
          <w:sz w:val="32"/>
          <w:szCs w:val="32"/>
          <w:lang w:val="en-US" w:eastAsia="zh-CN"/>
        </w:rPr>
        <w:t>，2项成果处于国内领先水平，3</w:t>
      </w:r>
      <w:r>
        <w:rPr>
          <w:rFonts w:hint="default" w:ascii="仿宋" w:hAnsi="仿宋" w:eastAsia="仿宋" w:cs="仿宋"/>
          <w:color w:val="auto"/>
          <w:sz w:val="32"/>
          <w:szCs w:val="32"/>
          <w:lang w:val="en-US" w:eastAsia="zh-CN"/>
        </w:rPr>
        <w:t>项成果处于国内先进水平。</w:t>
      </w:r>
    </w:p>
    <w:p>
      <w:pPr>
        <w:widowControl/>
        <w:spacing w:before="240" w:after="240"/>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（六）大力培育创新人才，夯实创新发展基础。一是创新平台聚才效应凸显。 </w:t>
      </w:r>
      <w:r>
        <w:rPr>
          <w:rFonts w:hint="default" w:ascii="仿宋" w:hAnsi="仿宋" w:eastAsia="仿宋" w:cs="仿宋"/>
          <w:color w:val="auto"/>
          <w:sz w:val="32"/>
          <w:szCs w:val="32"/>
          <w:lang w:val="en-US" w:eastAsia="zh-CN"/>
        </w:rPr>
        <w:t>充分发挥</w:t>
      </w:r>
      <w:r>
        <w:rPr>
          <w:rFonts w:hint="eastAsia" w:ascii="仿宋" w:hAnsi="仿宋" w:eastAsia="仿宋" w:cs="仿宋"/>
          <w:color w:val="auto"/>
          <w:sz w:val="32"/>
          <w:szCs w:val="32"/>
          <w:lang w:val="en-US" w:eastAsia="zh-CN"/>
        </w:rPr>
        <w:t>全市科技</w:t>
      </w:r>
      <w:r>
        <w:rPr>
          <w:rFonts w:hint="default" w:ascii="仿宋" w:hAnsi="仿宋" w:eastAsia="仿宋" w:cs="仿宋"/>
          <w:color w:val="auto"/>
          <w:sz w:val="32"/>
          <w:szCs w:val="32"/>
          <w:lang w:val="en-US" w:eastAsia="zh-CN"/>
        </w:rPr>
        <w:t>创新平台聚才作用</w:t>
      </w:r>
      <w:r>
        <w:rPr>
          <w:rFonts w:hint="eastAsia" w:ascii="仿宋" w:hAnsi="仿宋" w:eastAsia="仿宋" w:cs="仿宋"/>
          <w:color w:val="auto"/>
          <w:sz w:val="32"/>
          <w:szCs w:val="32"/>
          <w:lang w:val="en-US" w:eastAsia="zh-CN"/>
        </w:rPr>
        <w:t>，引进项目负责人、科学技术奖获得者等各类人才109名，培养各类人才164名；通过区域协同创新平台引进高层次人才62人，培养本地人才80余人。参与组织第十一届内蒙古“草原英才”高层次人才合作交流会赤峰分会场活动，组织5个科技项目现场签约。办理外国人来华工作许可业务16项，新引进外国专家4人，总数达到11人。二是科技项目育才有效落地。</w:t>
      </w:r>
      <w:r>
        <w:rPr>
          <w:rFonts w:hint="default" w:ascii="仿宋" w:hAnsi="仿宋" w:eastAsia="仿宋" w:cs="仿宋"/>
          <w:color w:val="auto"/>
          <w:sz w:val="32"/>
          <w:szCs w:val="32"/>
          <w:lang w:val="en-US" w:eastAsia="zh-CN"/>
        </w:rPr>
        <w:t>积极开展</w:t>
      </w:r>
      <w:r>
        <w:rPr>
          <w:rFonts w:hint="eastAsia" w:ascii="仿宋" w:hAnsi="仿宋" w:eastAsia="仿宋" w:cs="仿宋"/>
          <w:color w:val="auto"/>
          <w:sz w:val="32"/>
          <w:szCs w:val="32"/>
          <w:lang w:val="en-US" w:eastAsia="zh-CN"/>
        </w:rPr>
        <w:t>基础研究</w:t>
      </w:r>
      <w:r>
        <w:rPr>
          <w:rFonts w:hint="default" w:ascii="仿宋" w:hAnsi="仿宋" w:eastAsia="仿宋" w:cs="仿宋"/>
          <w:color w:val="auto"/>
          <w:sz w:val="32"/>
          <w:szCs w:val="32"/>
          <w:lang w:val="en-US" w:eastAsia="zh-CN"/>
        </w:rPr>
        <w:t>和关键共性技术研究</w:t>
      </w:r>
      <w:r>
        <w:rPr>
          <w:rFonts w:hint="eastAsia" w:ascii="仿宋" w:hAnsi="仿宋" w:eastAsia="仿宋" w:cs="仿宋"/>
          <w:color w:val="auto"/>
          <w:sz w:val="32"/>
          <w:szCs w:val="32"/>
          <w:lang w:val="en-US" w:eastAsia="zh-CN"/>
        </w:rPr>
        <w:t>，获批自治区自然科学基金项目26项，培养青年人才80人。积极对接“鸿雁行动-智汇北疆”在京人才产学研项目，确定对接签约4项，合作专家2人。三是科技人才培育成效明显。开展第四批科技领域“玉龙英才”工作，认定创新个人9名，创新创业团队6个。指导技术人才培养基地组织初级技术经纪人培训两期，210人获得结业证书，全市技术经纪人总数达到445人。对我市规上企业科技人才队伍建设情况进行摸底，我市规上企业共有248个研发团队，拥有各类科技人才5540名。我市推荐的赤峰家育种业科技有限公司董事长区健丽被授予2023年度自治区“骏马奖”（全区共8个）。</w:t>
      </w:r>
    </w:p>
    <w:p>
      <w:pPr>
        <w:pStyle w:val="4"/>
        <w:tabs>
          <w:tab w:val="left" w:pos="4392"/>
        </w:tabs>
        <w:adjustRightInd/>
        <w:snapToGrid/>
        <w:spacing w:before="0" w:after="0" w:line="360" w:lineRule="auto"/>
        <w:ind w:firstLine="0" w:firstLineChars="0"/>
        <w:jc w:val="center"/>
        <w:rPr>
          <w:rFonts w:ascii="方正小标宋简体" w:hAnsi="方正小标宋简体" w:eastAsia="方正小标宋简体" w:cs="方正小标宋简体"/>
          <w:b w:val="0"/>
          <w:bCs w:val="0"/>
          <w:sz w:val="36"/>
          <w:szCs w:val="36"/>
          <w:highlight w:val="none"/>
        </w:rPr>
      </w:pPr>
      <w:bookmarkStart w:id="2" w:name="_Toc990"/>
      <w:r>
        <w:rPr>
          <w:rFonts w:hint="eastAsia" w:ascii="方正小标宋简体" w:hAnsi="方正小标宋简体" w:eastAsia="方正小标宋简体" w:cs="方正小标宋简体"/>
          <w:b w:val="0"/>
          <w:bCs w:val="0"/>
          <w:sz w:val="36"/>
          <w:szCs w:val="36"/>
          <w:highlight w:val="none"/>
        </w:rPr>
        <w:t>第二部分</w:t>
      </w:r>
      <w:r>
        <w:rPr>
          <w:rFonts w:hint="eastAsia" w:ascii="方正小标宋简体" w:hAnsi="方正小标宋简体" w:eastAsia="方正小标宋简体" w:cs="方正小标宋简体"/>
          <w:b w:val="0"/>
          <w:bCs w:val="0"/>
          <w:sz w:val="36"/>
          <w:szCs w:val="36"/>
          <w:highlight w:val="none"/>
          <w:lang w:val="en-US" w:eastAsia="zh-CN"/>
        </w:rPr>
        <w:t xml:space="preserve">  2023</w:t>
      </w:r>
      <w:r>
        <w:rPr>
          <w:rFonts w:hint="eastAsia" w:ascii="方正小标宋简体" w:hAnsi="方正小标宋简体" w:eastAsia="方正小标宋简体" w:cs="方正小标宋简体"/>
          <w:b w:val="0"/>
          <w:bCs w:val="0"/>
          <w:sz w:val="36"/>
          <w:szCs w:val="36"/>
          <w:highlight w:val="none"/>
        </w:rPr>
        <w:t>年度</w:t>
      </w:r>
      <w:r>
        <w:rPr>
          <w:rFonts w:hint="eastAsia" w:ascii="方正小标宋简体" w:hAnsi="方正小标宋简体" w:eastAsia="方正小标宋简体" w:cs="方正小标宋简体"/>
          <w:b w:val="0"/>
          <w:bCs w:val="0"/>
          <w:sz w:val="36"/>
          <w:szCs w:val="36"/>
          <w:highlight w:val="none"/>
          <w:lang w:eastAsia="zh-CN"/>
        </w:rPr>
        <w:t>赤峰市</w:t>
      </w:r>
      <w:r>
        <w:rPr>
          <w:rFonts w:hint="eastAsia" w:ascii="方正小标宋简体" w:hAnsi="方正小标宋简体" w:eastAsia="方正小标宋简体" w:cs="方正小标宋简体"/>
          <w:b w:val="0"/>
          <w:bCs w:val="0"/>
          <w:sz w:val="36"/>
          <w:szCs w:val="36"/>
          <w:highlight w:val="none"/>
          <w:lang w:val="en-US" w:eastAsia="zh-CN"/>
        </w:rPr>
        <w:t>科</w:t>
      </w:r>
      <w:r>
        <w:rPr>
          <w:rFonts w:hint="eastAsia" w:ascii="方正小标宋简体" w:hAnsi="方正小标宋简体" w:eastAsia="方正小标宋简体" w:cs="方正小标宋简体"/>
          <w:b/>
          <w:bCs/>
          <w:sz w:val="36"/>
          <w:szCs w:val="36"/>
          <w:highlight w:val="none"/>
          <w:lang w:val="en-US" w:eastAsia="zh-CN"/>
        </w:rPr>
        <w:t>学</w:t>
      </w:r>
      <w:r>
        <w:rPr>
          <w:rFonts w:hint="eastAsia" w:ascii="方正小标宋简体" w:hAnsi="方正小标宋简体" w:eastAsia="方正小标宋简体" w:cs="方正小标宋简体"/>
          <w:b w:val="0"/>
          <w:bCs w:val="0"/>
          <w:sz w:val="36"/>
          <w:szCs w:val="36"/>
          <w:highlight w:val="none"/>
          <w:lang w:val="en-US" w:eastAsia="zh-CN"/>
        </w:rPr>
        <w:t>技</w:t>
      </w:r>
      <w:r>
        <w:rPr>
          <w:rFonts w:hint="eastAsia" w:ascii="方正小标宋简体" w:hAnsi="方正小标宋简体" w:eastAsia="方正小标宋简体" w:cs="方正小标宋简体"/>
          <w:b/>
          <w:bCs/>
          <w:sz w:val="36"/>
          <w:szCs w:val="36"/>
          <w:highlight w:val="none"/>
          <w:lang w:val="en-US" w:eastAsia="zh-CN"/>
        </w:rPr>
        <w:t>术局（</w:t>
      </w:r>
      <w:r>
        <w:rPr>
          <w:rFonts w:hint="eastAsia" w:ascii="方正小标宋简体" w:hAnsi="方正小标宋简体" w:eastAsia="方正小标宋简体" w:cs="方正小标宋简体"/>
          <w:b w:val="0"/>
          <w:bCs w:val="0"/>
          <w:sz w:val="36"/>
          <w:szCs w:val="36"/>
          <w:highlight w:val="none"/>
          <w:lang w:val="en-US" w:eastAsia="zh-CN"/>
        </w:rPr>
        <w:t>部门</w:t>
      </w:r>
      <w:r>
        <w:rPr>
          <w:rFonts w:hint="eastAsia" w:ascii="方正小标宋简体" w:hAnsi="方正小标宋简体" w:eastAsia="方正小标宋简体" w:cs="方正小标宋简体"/>
          <w:b/>
          <w:bCs/>
          <w:sz w:val="36"/>
          <w:szCs w:val="36"/>
          <w:highlight w:val="none"/>
          <w:lang w:val="en-US" w:eastAsia="zh-CN"/>
        </w:rPr>
        <w:t>）</w:t>
      </w:r>
      <w:r>
        <w:rPr>
          <w:rFonts w:hint="eastAsia" w:ascii="方正小标宋简体" w:hAnsi="方正小标宋简体" w:eastAsia="方正小标宋简体" w:cs="方正小标宋简体"/>
          <w:b w:val="0"/>
          <w:bCs w:val="0"/>
          <w:sz w:val="36"/>
          <w:szCs w:val="36"/>
          <w:highlight w:val="none"/>
        </w:rPr>
        <w:t>决算情况说明</w:t>
      </w:r>
      <w:bookmarkEnd w:id="2"/>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rPr>
        <w:t>一、收入支出决算总体情况说明</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xml:space="preserve">    </w:t>
      </w:r>
      <w:r>
        <w:rPr>
          <w:rFonts w:hint="eastAsia" w:ascii="仿宋" w:hAnsi="仿宋" w:eastAsia="仿宋" w:cs="仿宋"/>
          <w:color w:val="auto"/>
          <w:sz w:val="32"/>
          <w:szCs w:val="32"/>
          <w:lang w:val="en-US" w:eastAsia="zh-CN"/>
        </w:rPr>
        <w:t>赤峰市科学技术局（部门） 2023年度收入、支出决算总计 1,592.05万元。与年初预算相比，收、支总计各减少 3,035.54万元，减少65.60%，变动原因：部分科技项目资金尚未支出；与上年决算相比，收、支总计各增加 848.65万元，增长114.16%。其中：</w:t>
      </w:r>
    </w:p>
    <w:p>
      <w:pPr>
        <w:widowControl/>
        <w:spacing w:before="240" w:after="240"/>
        <w:jc w:val="left"/>
        <w:rPr>
          <w:rFonts w:hint="eastAsia" w:ascii="楷体" w:hAnsi="楷体" w:eastAsia="楷体" w:cs="Times New Roman"/>
          <w:b/>
          <w:color w:val="auto"/>
          <w:kern w:val="2"/>
          <w:sz w:val="32"/>
          <w:szCs w:val="24"/>
        </w:rPr>
      </w:pPr>
      <w:r>
        <w:rPr>
          <w:rFonts w:ascii="kai_ti_gb2312" w:hAnsi="kai_ti_gb2312" w:eastAsia="kai_ti_gb2312" w:cs="kai_ti_gb2312"/>
          <w:b/>
          <w:bCs/>
          <w:kern w:val="0"/>
          <w:sz w:val="27"/>
          <w:szCs w:val="27"/>
        </w:rPr>
        <w:t xml:space="preserve">    </w:t>
      </w:r>
      <w:r>
        <w:rPr>
          <w:rFonts w:hint="eastAsia" w:ascii="楷体" w:hAnsi="楷体" w:eastAsia="楷体" w:cs="Times New Roman"/>
          <w:b/>
          <w:color w:val="auto"/>
          <w:kern w:val="2"/>
          <w:sz w:val="32"/>
          <w:szCs w:val="24"/>
        </w:rPr>
        <w:t>（一）收入决算总计 1,592.05万元。包括：</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w:t>
      </w:r>
      <w:r>
        <w:rPr>
          <w:rFonts w:hint="eastAsia" w:ascii="仿宋_GB2312" w:hAnsi="仿宋_GB2312" w:eastAsia="仿宋_GB2312" w:cs="Times New Roman"/>
          <w:color w:val="auto"/>
          <w:kern w:val="2"/>
          <w:sz w:val="32"/>
          <w:szCs w:val="24"/>
          <w:lang w:eastAsia="zh-CN"/>
        </w:rPr>
        <w:t xml:space="preserve"> </w:t>
      </w:r>
      <w:r>
        <w:rPr>
          <w:rFonts w:hint="eastAsia" w:ascii="仿宋" w:hAnsi="仿宋" w:eastAsia="仿宋" w:cs="仿宋"/>
          <w:color w:val="auto"/>
          <w:sz w:val="32"/>
          <w:szCs w:val="32"/>
          <w:lang w:val="en-US" w:eastAsia="zh-CN"/>
        </w:rPr>
        <w:t>1.本年收入决算合计 1,591.91万元。与上年决算相比，增加 848.65万元，增长 114.18%，变动原因：2023年新增退休人员项目外待遇以及离退休职工去世发放的丧葬费及抚恤金；本年度新增3个项目收入，所以收入增长幅度较大。</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2.使用非财政拨款结余和专用结余  0 万元。与上年决算相比，增加 0 万元，增长 0 %，变动原因：不存在此项内容。</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3.年初结转和结余 0.14万元。与上年决算相比，增加 0 万元，增长 0 %，变动原因：本年结转结余尚未支出。</w:t>
      </w:r>
    </w:p>
    <w:p>
      <w:pPr>
        <w:widowControl/>
        <w:spacing w:before="240" w:after="240"/>
        <w:jc w:val="left"/>
        <w:rPr>
          <w:rFonts w:hint="eastAsia" w:ascii="楷体" w:hAnsi="楷体" w:eastAsia="楷体" w:cs="Times New Roman"/>
          <w:b/>
          <w:color w:val="auto"/>
          <w:kern w:val="2"/>
          <w:sz w:val="32"/>
          <w:szCs w:val="24"/>
        </w:rPr>
      </w:pPr>
      <w:r>
        <w:rPr>
          <w:rFonts w:ascii="kai_ti_gb2312" w:hAnsi="kai_ti_gb2312" w:eastAsia="kai_ti_gb2312" w:cs="kai_ti_gb2312"/>
          <w:b/>
          <w:bCs/>
          <w:kern w:val="0"/>
          <w:sz w:val="27"/>
          <w:szCs w:val="27"/>
        </w:rPr>
        <w:t>   </w:t>
      </w:r>
      <w:r>
        <w:rPr>
          <w:rFonts w:hint="eastAsia" w:ascii="楷体" w:hAnsi="楷体" w:eastAsia="楷体" w:cs="Times New Roman"/>
          <w:b/>
          <w:color w:val="auto"/>
          <w:kern w:val="2"/>
          <w:sz w:val="32"/>
          <w:szCs w:val="24"/>
        </w:rPr>
        <w:t xml:space="preserve"> （二）支出决算总计 1,592.05万元。包括：</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w:t>
      </w:r>
      <w:r>
        <w:rPr>
          <w:rFonts w:hint="eastAsia" w:ascii="仿宋" w:hAnsi="仿宋" w:eastAsia="仿宋" w:cs="仿宋"/>
          <w:color w:val="auto"/>
          <w:sz w:val="32"/>
          <w:szCs w:val="32"/>
          <w:lang w:val="en-US" w:eastAsia="zh-CN"/>
        </w:rPr>
        <w:t xml:space="preserve"> 1.本年支出决算合计 1,591.03万元。与上年决算相比，增加847.76万元，增长 114.06%，变动原因：2023年新增退休人员项目外待遇以及离退休职工去世发放的丧葬费及抚恤金；本年度恢复项目支出并新增项目支出，所以支出增长幅度较大。</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2.结余分配 0万元。结余分配事项：无。与上年决算相比，增加 0万元，增长0%，变动原因：不存在此项内容。</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3.年末结转和结余 1.02万元。结转和结余事项：科技厅拨款。与上年决算相比，增加0.89万元，增长654.90%，变动原因：年末科技厅拨款尚未支出。</w:t>
      </w:r>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hint="eastAsia" w:eastAsia="黑体" w:cs="黑体"/>
          <w:b/>
          <w:bCs/>
          <w:sz w:val="32"/>
          <w:szCs w:val="36"/>
          <w:highlight w:val="none"/>
        </w:rPr>
        <w:t>二、收入决算情况说明</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color w:val="0E00FE"/>
          <w:kern w:val="0"/>
          <w:sz w:val="27"/>
          <w:szCs w:val="27"/>
        </w:rPr>
        <w:t>   </w:t>
      </w:r>
      <w:r>
        <w:rPr>
          <w:rFonts w:hint="eastAsia" w:ascii="仿宋_GB2312" w:hAnsi="仿宋_GB2312" w:eastAsia="仿宋_GB2312" w:cs="Times New Roman"/>
          <w:color w:val="auto"/>
          <w:kern w:val="2"/>
          <w:sz w:val="32"/>
          <w:szCs w:val="24"/>
          <w:lang w:eastAsia="zh-CN"/>
        </w:rPr>
        <w:t xml:space="preserve">     </w:t>
      </w:r>
      <w:r>
        <w:rPr>
          <w:rFonts w:hint="eastAsia" w:ascii="仿宋" w:hAnsi="仿宋" w:eastAsia="仿宋" w:cs="仿宋"/>
          <w:color w:val="auto"/>
          <w:sz w:val="32"/>
          <w:szCs w:val="32"/>
          <w:lang w:val="en-US" w:eastAsia="zh-CN"/>
        </w:rPr>
        <w:t>赤峰市科学技术局（部门） 2023年度本年收入决算合计 1,591.91万元，其中：</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本年一般公共预算财政拨款收入 1,591.91万元，占 100%；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本年政府性基金预算财政拨款收入0万元，占0%；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本年国有资本经营预算财政拨款收入0万元，占0%；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本年上级补助收入0万元，占0%；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本年事业收入0万元，占0%；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本年经营收入0万元，占0%；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本年附属单位上缴收入0万元，占0%；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本年其他收入0万元，占0%。</w:t>
      </w:r>
    </w:p>
    <w:p>
      <w:pPr>
        <w:widowControl/>
        <w:spacing w:before="240" w:after="240"/>
        <w:jc w:val="center"/>
        <w:rPr>
          <w:rFonts w:ascii="Times New Roman" w:hAnsi="Times New Roman" w:eastAsia="Times New Roman" w:cs="Times New Roman"/>
          <w:kern w:val="0"/>
          <w:sz w:val="24"/>
        </w:rPr>
      </w:pPr>
      <w:r>
        <w:drawing>
          <wp:inline distT="0" distB="0" distL="114300" distR="114300">
            <wp:extent cx="4826000" cy="2743200"/>
            <wp:effectExtent l="4445" t="4445" r="8255" b="14605"/>
            <wp:docPr id="2" name="图表 1"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rPr>
        <w:t>三、支出决算情况说明</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w:t>
      </w:r>
      <w:r>
        <w:rPr>
          <w:rFonts w:hint="eastAsia" w:ascii="仿宋_GB2312" w:hAnsi="仿宋_GB2312" w:eastAsia="仿宋_GB2312" w:cs="Times New Roman"/>
          <w:color w:val="auto"/>
          <w:kern w:val="2"/>
          <w:sz w:val="32"/>
          <w:szCs w:val="24"/>
          <w:lang w:eastAsia="zh-CN"/>
        </w:rPr>
        <w:t xml:space="preserve"> </w:t>
      </w:r>
      <w:r>
        <w:rPr>
          <w:rFonts w:hint="eastAsia" w:ascii="仿宋" w:hAnsi="仿宋" w:eastAsia="仿宋" w:cs="仿宋"/>
          <w:color w:val="auto"/>
          <w:sz w:val="32"/>
          <w:szCs w:val="32"/>
          <w:lang w:val="en-US" w:eastAsia="zh-CN"/>
        </w:rPr>
        <w:t>赤峰市科学技术局（部门） 2023年度本年支出决算合计 1,591.03万元，其中：</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本年基本支出 744.50万元，占 46.79%；</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本年项目支出 846.52万元，占 53.21%；</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本年上缴上级支出0万元，占0%；</w:t>
      </w:r>
    </w:p>
    <w:p>
      <w:pPr>
        <w:widowControl/>
        <w:spacing w:before="240" w:after="24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本年经营支出0万元，占 0%；</w:t>
      </w:r>
    </w:p>
    <w:p>
      <w:pPr>
        <w:widowControl/>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本年对附属单位补助支出0万元，占0%。</w:t>
      </w:r>
    </w:p>
    <w:p>
      <w:pPr>
        <w:pStyle w:val="2"/>
        <w:ind w:firstLine="497"/>
        <w:rPr>
          <w:rFonts w:ascii="Times New Roman" w:hAnsi="Times New Roman" w:eastAsia="Times New Roman" w:cs="Times New Roman"/>
          <w:kern w:val="0"/>
          <w:sz w:val="24"/>
        </w:rPr>
      </w:pPr>
      <w:r>
        <w:drawing>
          <wp:inline distT="0" distB="0" distL="114300" distR="114300">
            <wp:extent cx="4826000" cy="2743200"/>
            <wp:effectExtent l="4445" t="4445" r="8255" b="14605"/>
            <wp:docPr id="5" name="图表 4" descr="7b0a202020202263686172745265734964223a20223230343732313936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widowControl/>
        <w:spacing w:before="240" w:after="240"/>
        <w:jc w:val="left"/>
        <w:rPr>
          <w:rFonts w:ascii="Times New Roman" w:hAnsi="Times New Roman" w:eastAsia="Times New Roman" w:cs="Times New Roman"/>
          <w:kern w:val="0"/>
          <w:sz w:val="24"/>
        </w:rPr>
      </w:pPr>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hint="eastAsia" w:eastAsia="黑体" w:cs="黑体"/>
          <w:b/>
          <w:bCs/>
          <w:sz w:val="32"/>
          <w:szCs w:val="36"/>
          <w:highlight w:val="none"/>
        </w:rPr>
        <w:t>四、财政拨款收入支出决算总体情况说明</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w:t>
      </w:r>
      <w:r>
        <w:rPr>
          <w:rFonts w:hint="eastAsia" w:ascii="仿宋" w:hAnsi="仿宋" w:eastAsia="仿宋" w:cs="仿宋"/>
          <w:color w:val="auto"/>
          <w:sz w:val="32"/>
          <w:szCs w:val="32"/>
          <w:lang w:val="en-US" w:eastAsia="zh-CN"/>
        </w:rPr>
        <w:t xml:space="preserve"> 赤峰市科学技术局（部门） 2023年度财政拨款收入、支出决算总计 1,592.05万元，与年初预算相比，收、支总计各减少3,035.54万元，减少65.60%，变动原因：部分科技项目资金尚未支出；与上年决算相比，收、支总计各增加 848.65万元，增长 114.16%，变动原因：2023年新增退休人员项目外待遇以及离退休职工去世发放的丧葬费及抚恤金；本年度新增项目收入、支出，所以收入增长幅度较大。</w:t>
      </w:r>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rPr>
        <w:t>五、一般公共预算支出决算情况说明</w:t>
      </w:r>
    </w:p>
    <w:p>
      <w:pPr>
        <w:widowControl/>
        <w:spacing w:before="240" w:after="240"/>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xml:space="preserve">    </w:t>
      </w:r>
      <w:r>
        <w:rPr>
          <w:rFonts w:hint="eastAsia" w:ascii="仿宋" w:hAnsi="仿宋" w:eastAsia="仿宋" w:cs="仿宋"/>
          <w:color w:val="auto"/>
          <w:sz w:val="32"/>
          <w:szCs w:val="32"/>
          <w:lang w:val="en-US" w:eastAsia="zh-CN"/>
        </w:rPr>
        <w:t>赤峰市科学技术局（部门） 2023年度一般公共预算财政拨款支出决算 1,591.03万元。与年初预算 4,627.59万元相比，完成年初预算的 34.38%。其中：</w:t>
      </w:r>
    </w:p>
    <w:p>
      <w:pPr>
        <w:tabs>
          <w:tab w:val="left" w:pos="4275"/>
        </w:tabs>
        <w:spacing w:beforeLines="0" w:afterLines="0" w:line="560" w:lineRule="exact"/>
        <w:ind w:firstLine="643"/>
        <w:jc w:val="both"/>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xml:space="preserve">    </w:t>
      </w:r>
      <w:r>
        <w:rPr>
          <w:rFonts w:hint="eastAsia" w:ascii="楷体" w:hAnsi="楷体" w:eastAsia="楷体"/>
          <w:b/>
          <w:color w:val="auto"/>
          <w:kern w:val="2"/>
          <w:sz w:val="32"/>
          <w:szCs w:val="24"/>
        </w:rPr>
        <w:t>（一）一般公共服务（类）</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xml:space="preserve">    </w:t>
      </w:r>
      <w:r>
        <w:rPr>
          <w:rFonts w:hint="eastAsia" w:ascii="仿宋" w:hAnsi="仿宋" w:eastAsia="仿宋" w:cs="仿宋"/>
          <w:color w:val="auto"/>
          <w:sz w:val="32"/>
          <w:szCs w:val="32"/>
          <w:lang w:val="en-US" w:eastAsia="zh-CN"/>
        </w:rPr>
        <w:t>一般公共服务类决算数为 16.79万元，与年初预算相比增加16.79万元。其中：</w:t>
      </w:r>
    </w:p>
    <w:p>
      <w:pPr>
        <w:spacing w:beforeLines="0" w:afterLines="0" w:line="560" w:lineRule="exact"/>
        <w:ind w:firstLine="64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default" w:ascii="仿宋" w:hAnsi="仿宋" w:eastAsia="仿宋" w:cs="仿宋"/>
          <w:color w:val="auto"/>
          <w:sz w:val="32"/>
          <w:szCs w:val="32"/>
          <w:lang w:val="en-US" w:eastAsia="zh-CN"/>
        </w:rPr>
        <w:t>1</w:t>
      </w:r>
      <w:r>
        <w:rPr>
          <w:rFonts w:hint="eastAsia" w:ascii="仿宋" w:hAnsi="仿宋" w:eastAsia="仿宋" w:cs="仿宋"/>
          <w:color w:val="auto"/>
          <w:sz w:val="32"/>
          <w:szCs w:val="32"/>
          <w:lang w:val="en-US" w:eastAsia="zh-CN"/>
        </w:rPr>
        <w:t>．商贸事务（款）招商引资（项）。年初预算0万元，支出决算8.49万元，完成年初预算的100%。决算数与年初预算数的差异原因：此项支出为上年结转资金。</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default" w:ascii="仿宋" w:hAnsi="仿宋" w:eastAsia="仿宋" w:cs="仿宋"/>
          <w:color w:val="auto"/>
          <w:sz w:val="32"/>
          <w:szCs w:val="32"/>
          <w:lang w:val="en-US" w:eastAsia="zh-CN"/>
        </w:rPr>
        <w:t>2</w:t>
      </w:r>
      <w:r>
        <w:rPr>
          <w:rFonts w:hint="eastAsia" w:ascii="仿宋" w:hAnsi="仿宋" w:eastAsia="仿宋" w:cs="仿宋"/>
          <w:color w:val="auto"/>
          <w:sz w:val="32"/>
          <w:szCs w:val="32"/>
          <w:lang w:val="en-US" w:eastAsia="zh-CN"/>
        </w:rPr>
        <w:t>．组织事务（款）公务员事务（项）。年初预算0万元，支出决算0.60万元，完成年初预算的100%。决算数与年初预算数的差异原因：此项支出为年中追加项目资金。</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3．组织事务（款）其他组织事务支出（项）。年初预算0万元，支出决算7.70万元，完成年初预算的100%。决算数与年初预算数的差异原因：此项支出为上年结转资金。</w:t>
      </w:r>
    </w:p>
    <w:p>
      <w:pPr>
        <w:tabs>
          <w:tab w:val="left" w:pos="4275"/>
        </w:tabs>
        <w:spacing w:beforeLines="0" w:afterLines="0" w:line="560" w:lineRule="exact"/>
        <w:ind w:firstLine="643"/>
        <w:jc w:val="both"/>
        <w:rPr>
          <w:rFonts w:ascii="Times New Roman" w:hAnsi="Times New Roman" w:eastAsia="Times New Roman" w:cs="Times New Roman"/>
          <w:kern w:val="0"/>
          <w:sz w:val="24"/>
        </w:rPr>
      </w:pPr>
      <w:r>
        <w:rPr>
          <w:rFonts w:ascii="kai_ti_gb2312" w:hAnsi="kai_ti_gb2312" w:eastAsia="kai_ti_gb2312" w:cs="kai_ti_gb2312"/>
          <w:b/>
          <w:bCs/>
          <w:kern w:val="0"/>
          <w:sz w:val="27"/>
          <w:szCs w:val="27"/>
        </w:rPr>
        <w:t xml:space="preserve">    </w:t>
      </w:r>
      <w:r>
        <w:rPr>
          <w:rFonts w:hint="eastAsia" w:ascii="楷体" w:hAnsi="楷体" w:eastAsia="楷体"/>
          <w:b/>
          <w:color w:val="auto"/>
          <w:kern w:val="2"/>
          <w:sz w:val="32"/>
          <w:szCs w:val="24"/>
        </w:rPr>
        <w:t>（二）</w:t>
      </w:r>
      <w:r>
        <w:rPr>
          <w:rFonts w:hint="eastAsia" w:ascii="楷体" w:hAnsi="楷体" w:eastAsia="楷体"/>
          <w:b/>
          <w:color w:val="auto"/>
          <w:kern w:val="2"/>
          <w:sz w:val="32"/>
          <w:szCs w:val="24"/>
          <w:lang w:eastAsia="zh-CN"/>
        </w:rPr>
        <w:t>科学技术支出</w:t>
      </w:r>
      <w:r>
        <w:rPr>
          <w:rFonts w:hint="eastAsia" w:ascii="楷体" w:hAnsi="楷体" w:eastAsia="楷体"/>
          <w:b/>
          <w:color w:val="auto"/>
          <w:kern w:val="2"/>
          <w:sz w:val="32"/>
          <w:szCs w:val="24"/>
        </w:rPr>
        <w:t>（类）</w:t>
      </w:r>
    </w:p>
    <w:p>
      <w:pPr>
        <w:spacing w:beforeLines="0" w:afterLines="0" w:line="560" w:lineRule="exact"/>
        <w:ind w:firstLine="640"/>
        <w:jc w:val="both"/>
        <w:rPr>
          <w:rFonts w:hint="default" w:ascii="仿宋" w:hAnsi="仿宋" w:eastAsia="仿宋" w:cs="仿宋"/>
          <w:color w:val="auto"/>
          <w:sz w:val="32"/>
          <w:szCs w:val="32"/>
          <w:lang w:val="en-US" w:eastAsia="zh-CN"/>
        </w:rPr>
      </w:pPr>
      <w:r>
        <w:rPr>
          <w:rFonts w:ascii="fang_song_gb2312" w:hAnsi="fang_song_gb2312" w:eastAsia="fang_song_gb2312" w:cs="fang_song_gb2312"/>
          <w:kern w:val="0"/>
          <w:sz w:val="27"/>
          <w:szCs w:val="27"/>
        </w:rPr>
        <w:t>   </w:t>
      </w:r>
      <w:r>
        <w:rPr>
          <w:rFonts w:hint="eastAsia" w:ascii="仿宋" w:hAnsi="仿宋" w:eastAsia="仿宋" w:cs="仿宋"/>
          <w:color w:val="auto"/>
          <w:sz w:val="32"/>
          <w:szCs w:val="32"/>
          <w:lang w:val="en-US" w:eastAsia="zh-CN"/>
        </w:rPr>
        <w:t>科学技术支出类决算数为1275.81万元，与年初预算相比减少3096.51万元。其中：</w:t>
      </w:r>
    </w:p>
    <w:p>
      <w:pPr>
        <w:spacing w:beforeLines="0" w:afterLines="0" w:line="560" w:lineRule="exact"/>
        <w:ind w:firstLine="640"/>
        <w:jc w:val="both"/>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default" w:ascii="仿宋" w:hAnsi="仿宋" w:eastAsia="仿宋" w:cs="仿宋"/>
          <w:color w:val="auto"/>
          <w:sz w:val="32"/>
          <w:szCs w:val="32"/>
          <w:lang w:val="en-US" w:eastAsia="zh-CN"/>
        </w:rPr>
        <w:t>1</w:t>
      </w:r>
      <w:r>
        <w:rPr>
          <w:rFonts w:hint="eastAsia" w:ascii="仿宋" w:hAnsi="仿宋" w:eastAsia="仿宋" w:cs="仿宋"/>
          <w:color w:val="auto"/>
          <w:sz w:val="32"/>
          <w:szCs w:val="32"/>
          <w:lang w:val="en-US" w:eastAsia="zh-CN"/>
        </w:rPr>
        <w:t>．科学技术管理事务（款）行政运行（项）。年初预算236.79万元，支出决算234.96万元，完成年初预算的99.22%。决算数与年初预算数的差异原因：2023年人员工资减少。</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2．科学技术管理事务（款）其他科学技术管理事务支出（项）。年初预算74.38万元，支出决算66.27万元，完成年初预算的89.09%。决算数与年初预算数的差异原因：2023年项目支出尚未完成。</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3．基础研究（款）机构运行（项）。年初预算212.67万元，支出决算186万元，完成年初预算的87.45%。决算数与年初预算数的差异原因：2023年度新增退休人员1人，工资福利支出减少。</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4．技术研究与开发（款）科技成果转化与扩散（项）。年初预算46.93万元，支出决算82.20万元，完成年初预算的175.15%。决算数与年初预算数的差异原因：本年度新增科技项目，年中追加。</w:t>
      </w:r>
    </w:p>
    <w:p>
      <w:pPr>
        <w:spacing w:beforeLines="0" w:afterLines="0" w:line="560" w:lineRule="exact"/>
        <w:ind w:firstLine="640"/>
        <w:jc w:val="both"/>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5．技术研究与开发（款）其他技术研究与开发支出（项）。年初预算31万元，支出决算28.36万元，完成年初预算的91.48%。决算数与年初预算数的差异原因：其他技术研究与开发支出为科技项目结转款项，由于项目尚未完成，资金未全部支出。</w:t>
      </w:r>
    </w:p>
    <w:p>
      <w:pPr>
        <w:pStyle w:val="2"/>
        <w:ind w:firstLine="640" w:firstLineChars="200"/>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6．科技交流与合作（款）其他科技交流与合作支出（项）。年初预算3000万元，支出决算60万元，完成年初预算的2%。决算数与年初预算数的差异原因：2023年项目支出尚未完成。</w:t>
      </w:r>
    </w:p>
    <w:p>
      <w:pPr>
        <w:spacing w:beforeLines="0" w:afterLines="0" w:line="560" w:lineRule="exact"/>
        <w:ind w:firstLine="640"/>
        <w:jc w:val="both"/>
        <w:rPr>
          <w:rFonts w:ascii="Times New Roman" w:hAnsi="Times New Roman" w:eastAsia="Times New Roman" w:cs="Times New Roman"/>
          <w:kern w:val="0"/>
          <w:sz w:val="24"/>
        </w:rPr>
      </w:pPr>
      <w:r>
        <w:rPr>
          <w:rFonts w:hint="eastAsia" w:ascii="仿宋" w:hAnsi="仿宋" w:eastAsia="仿宋" w:cs="仿宋"/>
          <w:b w:val="0"/>
          <w:bCs w:val="0"/>
          <w:color w:val="auto"/>
          <w:kern w:val="2"/>
          <w:sz w:val="32"/>
          <w:szCs w:val="32"/>
          <w:lang w:val="en-US" w:eastAsia="zh-CN" w:bidi="ar-SA"/>
        </w:rPr>
        <w:t>7．其他科学技术支出（款）其他科学技术支出（项）。年初预算768.5万元，支出决算618.02万元，完成年初预算的80.41%。决算数与年初预算数的差异原因：2023年项目支出尚未完成。</w:t>
      </w:r>
    </w:p>
    <w:p>
      <w:pPr>
        <w:tabs>
          <w:tab w:val="left" w:pos="4275"/>
        </w:tabs>
        <w:spacing w:line="560" w:lineRule="exact"/>
        <w:ind w:firstLine="643"/>
        <w:jc w:val="both"/>
        <w:rPr>
          <w:rFonts w:hint="default" w:ascii="Times New Roman" w:hAnsi="Times New Roman" w:eastAsia="Times New Roman"/>
          <w:b/>
          <w:color w:val="auto"/>
          <w:kern w:val="2"/>
          <w:sz w:val="32"/>
          <w:szCs w:val="24"/>
        </w:rPr>
      </w:pPr>
      <w:r>
        <w:rPr>
          <w:rFonts w:ascii="kai_ti_gb2312" w:hAnsi="kai_ti_gb2312" w:eastAsia="kai_ti_gb2312" w:cs="kai_ti_gb2312"/>
          <w:b/>
          <w:bCs/>
          <w:kern w:val="0"/>
          <w:sz w:val="27"/>
          <w:szCs w:val="27"/>
        </w:rPr>
        <w:t xml:space="preserve">    </w:t>
      </w:r>
      <w:r>
        <w:rPr>
          <w:rFonts w:hint="eastAsia" w:ascii="楷体" w:hAnsi="楷体" w:eastAsia="楷体"/>
          <w:b/>
          <w:color w:val="auto"/>
          <w:kern w:val="2"/>
          <w:sz w:val="32"/>
          <w:szCs w:val="24"/>
        </w:rPr>
        <w:t>（</w:t>
      </w:r>
      <w:r>
        <w:rPr>
          <w:rFonts w:hint="eastAsia" w:ascii="楷体" w:hAnsi="楷体" w:eastAsia="楷体"/>
          <w:b/>
          <w:color w:val="auto"/>
          <w:kern w:val="2"/>
          <w:sz w:val="32"/>
          <w:szCs w:val="24"/>
          <w:lang w:eastAsia="zh-CN"/>
        </w:rPr>
        <w:t>二</w:t>
      </w:r>
      <w:r>
        <w:rPr>
          <w:rFonts w:hint="eastAsia" w:ascii="楷体" w:hAnsi="楷体" w:eastAsia="楷体"/>
          <w:b/>
          <w:color w:val="auto"/>
          <w:kern w:val="2"/>
          <w:sz w:val="32"/>
          <w:szCs w:val="24"/>
        </w:rPr>
        <w:t>）社会保障和就业支出（类）</w:t>
      </w:r>
    </w:p>
    <w:p>
      <w:pPr>
        <w:widowControl/>
        <w:spacing w:before="240" w:after="240"/>
        <w:jc w:val="left"/>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w:t>
      </w:r>
      <w:r>
        <w:rPr>
          <w:rFonts w:hint="eastAsia" w:ascii="仿宋" w:hAnsi="仿宋" w:eastAsia="仿宋" w:cs="仿宋"/>
          <w:b w:val="0"/>
          <w:bCs w:val="0"/>
          <w:color w:val="auto"/>
          <w:kern w:val="2"/>
          <w:sz w:val="32"/>
          <w:szCs w:val="32"/>
          <w:lang w:val="en-US" w:eastAsia="zh-CN" w:bidi="ar-SA"/>
        </w:rPr>
        <w:t xml:space="preserve"> 社会保障和就业支出类决算数为 202.53万元，与年初预算相比增加（减少） 40.45万元。其中：</w:t>
      </w:r>
    </w:p>
    <w:p>
      <w:pPr>
        <w:widowControl/>
        <w:spacing w:before="240" w:after="240"/>
        <w:jc w:val="left"/>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xml:space="preserve">  </w:t>
      </w:r>
      <w:r>
        <w:rPr>
          <w:rFonts w:hint="eastAsia" w:ascii="仿宋" w:hAnsi="仿宋" w:eastAsia="仿宋" w:cs="仿宋"/>
          <w:b w:val="0"/>
          <w:bCs w:val="0"/>
          <w:color w:val="auto"/>
          <w:kern w:val="2"/>
          <w:sz w:val="32"/>
          <w:szCs w:val="32"/>
          <w:lang w:val="en-US" w:eastAsia="zh-CN" w:bidi="ar-SA"/>
        </w:rPr>
        <w:t>  1．行政事业单位养老支出（款）行政单位离退休（项）。年初预算33.60万元，支出决算33.49万元，完成年初预算的99.67%。决算数与年初预算数的差异原因：行政单位离退休支出有所减少。</w:t>
      </w:r>
    </w:p>
    <w:p>
      <w:pPr>
        <w:widowControl/>
        <w:spacing w:before="240" w:after="240"/>
        <w:ind w:firstLine="506"/>
        <w:jc w:val="left"/>
        <w:rPr>
          <w:rFonts w:ascii="fang_song_gb2312" w:hAnsi="fang_song_gb2312" w:eastAsia="fang_song_gb2312" w:cs="fang_song_gb2312"/>
          <w:kern w:val="0"/>
          <w:sz w:val="27"/>
          <w:szCs w:val="27"/>
        </w:rPr>
      </w:pPr>
      <w:r>
        <w:rPr>
          <w:rFonts w:hint="eastAsia" w:ascii="仿宋" w:hAnsi="仿宋" w:eastAsia="仿宋" w:cs="仿宋"/>
          <w:b w:val="0"/>
          <w:bCs w:val="0"/>
          <w:color w:val="auto"/>
          <w:kern w:val="2"/>
          <w:sz w:val="32"/>
          <w:szCs w:val="32"/>
          <w:lang w:val="en-US" w:eastAsia="zh-CN" w:bidi="ar-SA"/>
        </w:rPr>
        <w:t>2．行政事业单位养老支出（款）事业单位离退休（项）。年初预算</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71.20万元，支出决算56.50万元，完成年初预算的</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79.35</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%。决算数与年初预算数的差异原因：离休人员去世1人，该人员离休费不再发放。 </w:t>
      </w:r>
      <w:r>
        <w:rPr>
          <w:rFonts w:ascii="fang_song_gb2312" w:hAnsi="fang_song_gb2312" w:eastAsia="fang_song_gb2312" w:cs="fang_song_gb2312"/>
          <w:kern w:val="0"/>
          <w:sz w:val="27"/>
          <w:szCs w:val="27"/>
        </w:rPr>
        <w:t xml:space="preserve">  </w:t>
      </w:r>
    </w:p>
    <w:p>
      <w:pPr>
        <w:widowControl/>
        <w:spacing w:before="240" w:after="240"/>
        <w:ind w:firstLine="506"/>
        <w:jc w:val="left"/>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xml:space="preserve"> </w:t>
      </w:r>
      <w:r>
        <w:rPr>
          <w:rFonts w:hint="eastAsia" w:ascii="仿宋" w:hAnsi="仿宋" w:eastAsia="仿宋" w:cs="仿宋"/>
          <w:b w:val="0"/>
          <w:bCs w:val="0"/>
          <w:color w:val="auto"/>
          <w:kern w:val="2"/>
          <w:sz w:val="32"/>
          <w:szCs w:val="32"/>
          <w:lang w:val="en-US" w:eastAsia="zh-CN" w:bidi="ar-SA"/>
        </w:rPr>
        <w:t>3．行政事业单位养老支出（款）机关事业单位基本养老保险缴费支出（项）。年初预算56.45万元，支出决算49.79万元，完成年初预算的88.20%。决算数与年初预算数的差异原因：新增退休人员。</w:t>
      </w:r>
    </w:p>
    <w:p>
      <w:pPr>
        <w:spacing w:beforeLines="0" w:afterLines="0" w:line="560" w:lineRule="exact"/>
        <w:ind w:firstLine="540" w:firstLineChars="200"/>
        <w:jc w:val="both"/>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xml:space="preserve"> </w:t>
      </w:r>
      <w:r>
        <w:rPr>
          <w:rFonts w:hint="eastAsia" w:ascii="仿宋" w:hAnsi="仿宋" w:eastAsia="仿宋" w:cs="仿宋"/>
          <w:b w:val="0"/>
          <w:bCs w:val="0"/>
          <w:color w:val="auto"/>
          <w:kern w:val="2"/>
          <w:sz w:val="32"/>
          <w:szCs w:val="32"/>
          <w:lang w:val="en-US" w:eastAsia="zh-CN" w:bidi="ar-SA"/>
        </w:rPr>
        <w:t>4．抚恤（款）死亡抚恤（项）。年初预算0万元，支出决算61.10万元，完成年初预算的100%。决算数与年初预算数的差异原因：此项支出为年中追加资金。</w:t>
      </w:r>
    </w:p>
    <w:p>
      <w:pPr>
        <w:spacing w:beforeLines="0" w:afterLines="0" w:line="560" w:lineRule="exact"/>
        <w:ind w:firstLine="640"/>
        <w:jc w:val="both"/>
        <w:rPr>
          <w:rFonts w:hint="default" w:ascii="Times New Roman" w:hAnsi="Times New Roman" w:eastAsia="Times New Roman"/>
          <w:color w:val="auto"/>
          <w:kern w:val="2"/>
          <w:sz w:val="32"/>
          <w:szCs w:val="24"/>
        </w:rPr>
      </w:pPr>
      <w:r>
        <w:rPr>
          <w:rFonts w:ascii="fang_song_gb2312" w:hAnsi="fang_song_gb2312" w:eastAsia="fang_song_gb2312" w:cs="fang_song_gb2312"/>
          <w:kern w:val="0"/>
          <w:sz w:val="27"/>
          <w:szCs w:val="27"/>
        </w:rPr>
        <w:t xml:space="preserve">  </w:t>
      </w:r>
      <w:r>
        <w:rPr>
          <w:rFonts w:hint="eastAsia" w:ascii="仿宋" w:hAnsi="仿宋" w:eastAsia="仿宋" w:cs="仿宋"/>
          <w:b w:val="0"/>
          <w:bCs w:val="0"/>
          <w:color w:val="auto"/>
          <w:kern w:val="2"/>
          <w:sz w:val="32"/>
          <w:szCs w:val="32"/>
          <w:lang w:val="en-US" w:eastAsia="zh-CN" w:bidi="ar-SA"/>
        </w:rPr>
        <w:t> 5．其他社会保障和就业支出（款）其他社会保障和就业支出（项）。年初预算0.82万元，支出决算1.64万元，完成年初预算的200%。决算数与年初预算数的差异原因：新增失业保险项目。</w:t>
      </w:r>
    </w:p>
    <w:p>
      <w:pPr>
        <w:widowControl/>
        <w:spacing w:before="240" w:after="240"/>
        <w:jc w:val="left"/>
        <w:rPr>
          <w:rFonts w:hint="eastAsia" w:ascii="楷体" w:hAnsi="楷体" w:eastAsia="楷体"/>
          <w:b/>
          <w:color w:val="auto"/>
          <w:kern w:val="2"/>
          <w:sz w:val="32"/>
          <w:szCs w:val="24"/>
        </w:rPr>
      </w:pPr>
      <w:r>
        <w:rPr>
          <w:rFonts w:ascii="kai_ti_gb2312" w:hAnsi="kai_ti_gb2312" w:eastAsia="kai_ti_gb2312" w:cs="kai_ti_gb2312"/>
          <w:b/>
          <w:bCs/>
          <w:kern w:val="0"/>
          <w:sz w:val="27"/>
          <w:szCs w:val="27"/>
        </w:rPr>
        <w:t xml:space="preserve">    </w:t>
      </w:r>
      <w:r>
        <w:rPr>
          <w:rFonts w:hint="eastAsia" w:ascii="楷体" w:hAnsi="楷体" w:eastAsia="楷体"/>
          <w:b/>
          <w:color w:val="auto"/>
          <w:kern w:val="2"/>
          <w:sz w:val="32"/>
          <w:szCs w:val="24"/>
        </w:rPr>
        <w:t>（</w:t>
      </w:r>
      <w:r>
        <w:rPr>
          <w:rFonts w:hint="eastAsia" w:ascii="楷体" w:hAnsi="楷体" w:eastAsia="楷体"/>
          <w:b/>
          <w:color w:val="auto"/>
          <w:kern w:val="2"/>
          <w:sz w:val="32"/>
          <w:szCs w:val="24"/>
          <w:lang w:val="en-US" w:eastAsia="zh-CN"/>
        </w:rPr>
        <w:t>三</w:t>
      </w:r>
      <w:r>
        <w:rPr>
          <w:rFonts w:hint="eastAsia" w:ascii="楷体" w:hAnsi="楷体" w:eastAsia="楷体"/>
          <w:b/>
          <w:color w:val="auto"/>
          <w:kern w:val="2"/>
          <w:sz w:val="32"/>
          <w:szCs w:val="24"/>
        </w:rPr>
        <w:t>）卫生健康支出（类）</w:t>
      </w:r>
    </w:p>
    <w:p>
      <w:pPr>
        <w:widowControl/>
        <w:spacing w:before="240" w:after="240"/>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w:t>
      </w:r>
      <w:r>
        <w:rPr>
          <w:rFonts w:hint="eastAsia" w:ascii="仿宋" w:hAnsi="仿宋" w:eastAsia="仿宋" w:cs="仿宋"/>
          <w:b w:val="0"/>
          <w:bCs w:val="0"/>
          <w:color w:val="auto"/>
          <w:kern w:val="2"/>
          <w:sz w:val="32"/>
          <w:szCs w:val="32"/>
          <w:lang w:val="en-US" w:eastAsia="zh-CN" w:bidi="ar-SA"/>
        </w:rPr>
        <w:t xml:space="preserve"> 卫生健康支出类决算数为 40.40万元，与年初预算相比减少 4.02万元。其中：</w:t>
      </w:r>
    </w:p>
    <w:p>
      <w:pPr>
        <w:spacing w:beforeLines="0" w:afterLines="0"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仿宋" w:hAnsi="仿宋" w:eastAsia="仿宋" w:cs="仿宋"/>
          <w:b w:val="0"/>
          <w:bCs w:val="0"/>
          <w:color w:val="auto"/>
          <w:kern w:val="2"/>
          <w:sz w:val="32"/>
          <w:szCs w:val="32"/>
          <w:lang w:val="en-US" w:eastAsia="zh-CN" w:bidi="ar-SA"/>
        </w:rPr>
        <w:t xml:space="preserve"> 1．行政事业单位医疗（款）行政单位医疗（项）。年初预算15.34万元，支出决算14.48万元，完成年初预算的94.39%。决算数与年初预算数的差异原因：人员变动行政单位医疗支出减少。</w:t>
      </w:r>
    </w:p>
    <w:p>
      <w:pPr>
        <w:spacing w:line="560" w:lineRule="exact"/>
        <w:ind w:firstLine="640"/>
        <w:jc w:val="both"/>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仿宋" w:hAnsi="仿宋" w:eastAsia="仿宋" w:cs="仿宋"/>
          <w:b w:val="0"/>
          <w:bCs w:val="0"/>
          <w:color w:val="auto"/>
          <w:kern w:val="2"/>
          <w:sz w:val="32"/>
          <w:szCs w:val="32"/>
          <w:lang w:val="en-US" w:eastAsia="zh-CN" w:bidi="ar-SA"/>
        </w:rPr>
        <w:t>2．行政事业单位医疗（款）事业单位医疗（项）。年初预算13.70万元，支出决算</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10.78</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万元，完成年初预算的98.69</w:t>
      </w:r>
      <w:r>
        <w:rPr>
          <w:rFonts w:hint="default" w:ascii="仿宋" w:hAnsi="仿宋" w:eastAsia="仿宋" w:cs="仿宋"/>
          <w:b w:val="0"/>
          <w:bCs w:val="0"/>
          <w:color w:val="auto"/>
          <w:kern w:val="2"/>
          <w:sz w:val="32"/>
          <w:szCs w:val="32"/>
          <w:lang w:val="en-US" w:eastAsia="zh-CN" w:bidi="ar-SA"/>
        </w:rPr>
        <w:t xml:space="preserve"> </w:t>
      </w:r>
      <w:r>
        <w:rPr>
          <w:rFonts w:hint="eastAsia" w:ascii="仿宋" w:hAnsi="仿宋" w:eastAsia="仿宋" w:cs="仿宋"/>
          <w:b w:val="0"/>
          <w:bCs w:val="0"/>
          <w:color w:val="auto"/>
          <w:kern w:val="2"/>
          <w:sz w:val="32"/>
          <w:szCs w:val="32"/>
          <w:lang w:val="en-US" w:eastAsia="zh-CN" w:bidi="ar-SA"/>
        </w:rPr>
        <w:t>%。决算数与年初预算数的差异原因：新增1名退休人员，不再缴纳医疗保险单位部分。</w:t>
      </w:r>
    </w:p>
    <w:p>
      <w:pPr>
        <w:widowControl/>
        <w:spacing w:before="240" w:after="240"/>
        <w:rPr>
          <w:rFonts w:hint="eastAsia" w:ascii="仿宋" w:hAnsi="仿宋" w:eastAsia="仿宋" w:cs="仿宋"/>
          <w:b w:val="0"/>
          <w:bCs w:val="0"/>
          <w:color w:val="auto"/>
          <w:kern w:val="2"/>
          <w:sz w:val="32"/>
          <w:szCs w:val="32"/>
          <w:lang w:val="en-US" w:eastAsia="zh-CN" w:bidi="ar-SA"/>
        </w:rPr>
      </w:pPr>
      <w:r>
        <w:rPr>
          <w:rFonts w:ascii="fang_song_gb2312" w:hAnsi="fang_song_gb2312" w:eastAsia="fang_song_gb2312" w:cs="fang_song_gb2312"/>
          <w:kern w:val="0"/>
          <w:sz w:val="27"/>
          <w:szCs w:val="27"/>
        </w:rPr>
        <w:t>   </w:t>
      </w:r>
      <w:r>
        <w:rPr>
          <w:rFonts w:hint="eastAsia" w:ascii="仿宋" w:hAnsi="仿宋" w:eastAsia="仿宋" w:cs="仿宋"/>
          <w:b w:val="0"/>
          <w:bCs w:val="0"/>
          <w:color w:val="auto"/>
          <w:kern w:val="2"/>
          <w:sz w:val="32"/>
          <w:szCs w:val="32"/>
          <w:lang w:val="en-US" w:eastAsia="zh-CN" w:bidi="ar-SA"/>
        </w:rPr>
        <w:t xml:space="preserve"> 3．行政事业单位医疗（款）公务员医疗补助（项）。年初预算15.39万元，支出决算15.15万元，完成年初预算的98.44%。决算数与年初预算数的差异原因：：新增退休人员，公务员医疗补助单位部分减少。</w:t>
      </w:r>
    </w:p>
    <w:p>
      <w:pPr>
        <w:tabs>
          <w:tab w:val="left" w:pos="4275"/>
        </w:tabs>
        <w:spacing w:line="560" w:lineRule="exact"/>
        <w:ind w:firstLine="643"/>
        <w:jc w:val="both"/>
        <w:rPr>
          <w:rFonts w:hint="eastAsia" w:ascii="楷体" w:hAnsi="楷体" w:eastAsia="楷体" w:cs="Times New Roman"/>
          <w:b/>
          <w:color w:val="auto"/>
          <w:kern w:val="2"/>
          <w:sz w:val="32"/>
          <w:szCs w:val="24"/>
        </w:rPr>
      </w:pPr>
      <w:r>
        <w:rPr>
          <w:rFonts w:hint="eastAsia" w:ascii="楷体" w:hAnsi="楷体" w:eastAsia="楷体" w:cs="Times New Roman"/>
          <w:b/>
          <w:color w:val="auto"/>
          <w:kern w:val="2"/>
          <w:sz w:val="32"/>
          <w:szCs w:val="24"/>
        </w:rPr>
        <w:t>（</w:t>
      </w:r>
      <w:r>
        <w:rPr>
          <w:rFonts w:hint="eastAsia" w:ascii="楷体" w:hAnsi="楷体" w:eastAsia="楷体" w:cs="Times New Roman"/>
          <w:b/>
          <w:color w:val="auto"/>
          <w:kern w:val="2"/>
          <w:sz w:val="32"/>
          <w:szCs w:val="24"/>
          <w:lang w:eastAsia="zh-CN"/>
        </w:rPr>
        <w:t>四</w:t>
      </w:r>
      <w:r>
        <w:rPr>
          <w:rFonts w:hint="eastAsia" w:ascii="楷体" w:hAnsi="楷体" w:eastAsia="楷体" w:cs="Times New Roman"/>
          <w:b/>
          <w:color w:val="auto"/>
          <w:kern w:val="2"/>
          <w:sz w:val="32"/>
          <w:szCs w:val="24"/>
        </w:rPr>
        <w:t>）农林水支出（类）</w:t>
      </w:r>
    </w:p>
    <w:p>
      <w:pPr>
        <w:widowControl/>
        <w:spacing w:before="240" w:after="240"/>
        <w:ind w:firstLine="640" w:firstLineChars="200"/>
        <w:jc w:val="left"/>
        <w:rPr>
          <w:rFonts w:ascii="kai_ti_gb2312" w:hAnsi="kai_ti_gb2312" w:eastAsia="kai_ti_gb2312" w:cs="kai_ti_gb2312"/>
          <w:b/>
          <w:bCs/>
          <w:kern w:val="0"/>
          <w:sz w:val="27"/>
          <w:szCs w:val="27"/>
        </w:rPr>
      </w:pPr>
      <w:r>
        <w:rPr>
          <w:rFonts w:hint="eastAsia" w:ascii="仿宋" w:hAnsi="仿宋" w:eastAsia="仿宋" w:cs="Times New Roman"/>
          <w:color w:val="auto"/>
          <w:sz w:val="32"/>
          <w:szCs w:val="24"/>
        </w:rPr>
        <w:t>1．扶贫（款）其他扶贫支出（项）。年初预算</w:t>
      </w:r>
      <w:r>
        <w:rPr>
          <w:rFonts w:hint="eastAsia" w:ascii="仿宋" w:hAnsi="仿宋" w:eastAsia="仿宋" w:cs="Times New Roman"/>
          <w:color w:val="auto"/>
          <w:sz w:val="32"/>
          <w:szCs w:val="24"/>
          <w:lang w:val="en-US" w:eastAsia="zh-CN"/>
        </w:rPr>
        <w:t>1.92</w:t>
      </w:r>
      <w:r>
        <w:rPr>
          <w:rFonts w:hint="eastAsia" w:ascii="仿宋" w:hAnsi="仿宋" w:eastAsia="仿宋" w:cs="Times New Roman"/>
          <w:color w:val="auto"/>
          <w:sz w:val="32"/>
          <w:szCs w:val="24"/>
        </w:rPr>
        <w:t>万元，决算支出</w:t>
      </w:r>
      <w:r>
        <w:rPr>
          <w:rFonts w:hint="eastAsia" w:ascii="仿宋" w:hAnsi="仿宋" w:eastAsia="仿宋" w:cs="Times New Roman"/>
          <w:color w:val="auto"/>
          <w:sz w:val="32"/>
          <w:szCs w:val="24"/>
          <w:lang w:val="en-US" w:eastAsia="zh-CN"/>
        </w:rPr>
        <w:t>3.22</w:t>
      </w:r>
      <w:r>
        <w:rPr>
          <w:rFonts w:hint="eastAsia" w:ascii="仿宋" w:hAnsi="仿宋" w:eastAsia="仿宋" w:cs="Times New Roman"/>
          <w:color w:val="auto"/>
          <w:sz w:val="32"/>
          <w:szCs w:val="24"/>
        </w:rPr>
        <w:t>万元，完成年初预算的</w:t>
      </w:r>
      <w:r>
        <w:rPr>
          <w:rFonts w:hint="eastAsia" w:ascii="仿宋" w:hAnsi="仿宋" w:eastAsia="仿宋" w:cs="Times New Roman"/>
          <w:color w:val="auto"/>
          <w:sz w:val="32"/>
          <w:szCs w:val="24"/>
          <w:lang w:val="en-US" w:eastAsia="zh-CN"/>
        </w:rPr>
        <w:t>167.71</w:t>
      </w:r>
      <w:r>
        <w:rPr>
          <w:rFonts w:hint="eastAsia" w:ascii="仿宋" w:hAnsi="仿宋" w:eastAsia="仿宋" w:cs="Times New Roman"/>
          <w:color w:val="auto"/>
          <w:sz w:val="32"/>
          <w:szCs w:val="24"/>
        </w:rPr>
        <w:t>%。决算数与年初预算数的差异原因：</w:t>
      </w:r>
      <w:r>
        <w:rPr>
          <w:rFonts w:hint="eastAsia" w:ascii="仿宋" w:hAnsi="仿宋" w:eastAsia="仿宋" w:cs="Times New Roman"/>
          <w:color w:val="auto"/>
          <w:sz w:val="32"/>
          <w:szCs w:val="24"/>
          <w:lang w:eastAsia="zh-CN"/>
        </w:rPr>
        <w:t>年初预算为</w:t>
      </w:r>
      <w:r>
        <w:rPr>
          <w:rFonts w:hint="eastAsia" w:ascii="仿宋" w:hAnsi="仿宋" w:eastAsia="仿宋" w:cs="Times New Roman"/>
          <w:color w:val="auto"/>
          <w:sz w:val="32"/>
          <w:szCs w:val="24"/>
          <w:lang w:val="en-US" w:eastAsia="zh-CN"/>
        </w:rPr>
        <w:t>2022年结转数，</w:t>
      </w:r>
      <w:r>
        <w:rPr>
          <w:rFonts w:hint="eastAsia" w:ascii="仿宋" w:hAnsi="仿宋" w:eastAsia="仿宋" w:cs="Times New Roman"/>
          <w:color w:val="auto"/>
          <w:sz w:val="32"/>
          <w:szCs w:val="24"/>
          <w:lang w:eastAsia="zh-CN"/>
        </w:rPr>
        <w:t>年中追加</w:t>
      </w:r>
      <w:r>
        <w:rPr>
          <w:rFonts w:hint="eastAsia" w:ascii="仿宋" w:hAnsi="仿宋" w:eastAsia="仿宋" w:cs="Times New Roman"/>
          <w:color w:val="auto"/>
          <w:sz w:val="32"/>
          <w:szCs w:val="24"/>
          <w:lang w:val="en-US" w:eastAsia="zh-CN"/>
        </w:rPr>
        <w:t>2023年度</w:t>
      </w:r>
      <w:r>
        <w:rPr>
          <w:rFonts w:hint="eastAsia" w:ascii="仿宋" w:hAnsi="仿宋" w:eastAsia="仿宋" w:cs="Times New Roman"/>
          <w:color w:val="auto"/>
          <w:sz w:val="32"/>
          <w:szCs w:val="24"/>
          <w:lang w:eastAsia="zh-CN"/>
        </w:rPr>
        <w:t>扶贫预算</w:t>
      </w:r>
      <w:r>
        <w:rPr>
          <w:rFonts w:hint="eastAsia" w:ascii="仿宋" w:hAnsi="仿宋" w:eastAsia="仿宋" w:cs="Times New Roman"/>
          <w:color w:val="auto"/>
          <w:sz w:val="32"/>
          <w:szCs w:val="24"/>
        </w:rPr>
        <w:t>。</w:t>
      </w:r>
      <w:r>
        <w:rPr>
          <w:rFonts w:ascii="kai_ti_gb2312" w:hAnsi="kai_ti_gb2312" w:eastAsia="kai_ti_gb2312" w:cs="kai_ti_gb2312"/>
          <w:b/>
          <w:bCs/>
          <w:kern w:val="0"/>
          <w:sz w:val="27"/>
          <w:szCs w:val="27"/>
        </w:rPr>
        <w:t>   </w:t>
      </w:r>
    </w:p>
    <w:p>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（五）住房保障支出（类）</w:t>
      </w:r>
    </w:p>
    <w:p>
      <w:pPr>
        <w:widowControl/>
        <w:spacing w:before="240" w:after="240"/>
        <w:rPr>
          <w:rFonts w:hint="eastAsia" w:ascii="仿宋" w:hAnsi="仿宋" w:eastAsia="仿宋" w:cs="Times New Roman"/>
          <w:color w:val="auto"/>
          <w:sz w:val="32"/>
          <w:szCs w:val="24"/>
        </w:rPr>
      </w:pPr>
      <w:r>
        <w:rPr>
          <w:rFonts w:ascii="fang_song_gb2312" w:hAnsi="fang_song_gb2312" w:eastAsia="fang_song_gb2312" w:cs="fang_song_gb2312"/>
          <w:kern w:val="0"/>
          <w:sz w:val="27"/>
          <w:szCs w:val="27"/>
        </w:rPr>
        <w:t xml:space="preserve">    </w:t>
      </w:r>
      <w:r>
        <w:rPr>
          <w:rFonts w:hint="eastAsia" w:ascii="仿宋" w:hAnsi="仿宋" w:eastAsia="仿宋" w:cs="Times New Roman"/>
          <w:color w:val="auto"/>
          <w:sz w:val="32"/>
          <w:szCs w:val="24"/>
        </w:rPr>
        <w:t>住房保障支出类决算数为 41.97万元，与年初预算相比减少6.93万元。其中：</w:t>
      </w:r>
    </w:p>
    <w:p>
      <w:pPr>
        <w:widowControl/>
        <w:spacing w:before="240" w:after="240"/>
        <w:ind w:firstLine="540" w:firstLineChars="200"/>
        <w:jc w:val="left"/>
        <w:rPr>
          <w:rFonts w:hint="eastAsia" w:ascii="仿宋" w:hAnsi="仿宋" w:eastAsia="仿宋" w:cs="Times New Roman"/>
          <w:color w:val="auto"/>
          <w:sz w:val="32"/>
          <w:szCs w:val="24"/>
        </w:rPr>
      </w:pPr>
      <w:r>
        <w:rPr>
          <w:rFonts w:ascii="fang_song_gb2312" w:hAnsi="fang_song_gb2312" w:eastAsia="fang_song_gb2312" w:cs="fang_song_gb2312"/>
          <w:kern w:val="0"/>
          <w:sz w:val="27"/>
          <w:szCs w:val="27"/>
        </w:rPr>
        <w:t xml:space="preserve">  </w:t>
      </w:r>
      <w:r>
        <w:rPr>
          <w:rFonts w:hint="eastAsia" w:ascii="仿宋" w:hAnsi="仿宋" w:eastAsia="仿宋" w:cs="Times New Roman"/>
          <w:color w:val="auto"/>
          <w:sz w:val="32"/>
          <w:szCs w:val="24"/>
        </w:rPr>
        <w:t>  1．住房改革支出（款）住房公积金（项）。年初预算</w:t>
      </w:r>
      <w:r>
        <w:rPr>
          <w:rFonts w:hint="eastAsia" w:ascii="仿宋" w:hAnsi="仿宋" w:eastAsia="仿宋" w:cs="Times New Roman"/>
          <w:color w:val="auto"/>
          <w:sz w:val="32"/>
          <w:szCs w:val="24"/>
          <w:lang w:val="en-US" w:eastAsia="zh-CN"/>
        </w:rPr>
        <w:t>48.90</w:t>
      </w:r>
      <w:r>
        <w:rPr>
          <w:rFonts w:hint="eastAsia" w:ascii="仿宋" w:hAnsi="仿宋" w:eastAsia="仿宋" w:cs="Times New Roman"/>
          <w:color w:val="auto"/>
          <w:sz w:val="32"/>
          <w:szCs w:val="24"/>
        </w:rPr>
        <w:t>万元，支出决算</w:t>
      </w:r>
      <w:r>
        <w:rPr>
          <w:rFonts w:hint="eastAsia" w:ascii="仿宋" w:hAnsi="仿宋" w:eastAsia="仿宋" w:cs="Times New Roman"/>
          <w:color w:val="auto"/>
          <w:sz w:val="32"/>
          <w:szCs w:val="24"/>
          <w:lang w:val="en-US" w:eastAsia="zh-CN"/>
        </w:rPr>
        <w:t>41.97</w:t>
      </w:r>
      <w:r>
        <w:rPr>
          <w:rFonts w:hint="eastAsia" w:ascii="仿宋" w:hAnsi="仿宋" w:eastAsia="仿宋" w:cs="Times New Roman"/>
          <w:color w:val="auto"/>
          <w:sz w:val="32"/>
          <w:szCs w:val="24"/>
        </w:rPr>
        <w:t>万元，完成年初预算的</w:t>
      </w:r>
      <w:r>
        <w:rPr>
          <w:rFonts w:hint="eastAsia" w:ascii="仿宋" w:hAnsi="仿宋" w:eastAsia="仿宋" w:cs="Times New Roman"/>
          <w:color w:val="auto"/>
          <w:sz w:val="32"/>
          <w:szCs w:val="24"/>
          <w:lang w:val="en-US" w:eastAsia="zh-CN"/>
        </w:rPr>
        <w:t>85.82</w:t>
      </w:r>
      <w:r>
        <w:rPr>
          <w:rFonts w:hint="eastAsia" w:ascii="仿宋" w:hAnsi="仿宋" w:eastAsia="仿宋" w:cs="Times New Roman"/>
          <w:color w:val="auto"/>
          <w:sz w:val="32"/>
          <w:szCs w:val="24"/>
        </w:rPr>
        <w:t>%。决算数与年初预算数的差异原因：</w:t>
      </w:r>
      <w:r>
        <w:rPr>
          <w:rFonts w:hint="eastAsia" w:ascii="仿宋" w:hAnsi="仿宋" w:eastAsia="仿宋" w:cs="Times New Roman"/>
          <w:color w:val="auto"/>
          <w:sz w:val="32"/>
          <w:szCs w:val="24"/>
          <w:lang w:val="en-US" w:eastAsia="zh-CN"/>
        </w:rPr>
        <w:t>新增退休人员，不再缴纳住房公积金</w:t>
      </w:r>
      <w:r>
        <w:rPr>
          <w:rFonts w:hint="eastAsia" w:ascii="仿宋" w:hAnsi="仿宋" w:eastAsia="仿宋" w:cs="Times New Roman"/>
          <w:color w:val="auto"/>
          <w:sz w:val="32"/>
          <w:szCs w:val="24"/>
        </w:rPr>
        <w:t>。</w:t>
      </w:r>
    </w:p>
    <w:p>
      <w:pPr>
        <w:tabs>
          <w:tab w:val="left" w:pos="4275"/>
        </w:tabs>
        <w:spacing w:beforeLines="0" w:afterLines="0" w:line="560" w:lineRule="exact"/>
        <w:ind w:firstLine="643"/>
        <w:jc w:val="both"/>
        <w:rPr>
          <w:rFonts w:hint="default" w:ascii="Times New Roman" w:hAnsi="Times New Roman" w:eastAsia="Times New Roman"/>
          <w:b/>
          <w:color w:val="auto"/>
          <w:kern w:val="2"/>
          <w:sz w:val="32"/>
          <w:szCs w:val="24"/>
        </w:rPr>
      </w:pPr>
      <w:r>
        <w:rPr>
          <w:rFonts w:hint="eastAsia" w:ascii="楷体" w:hAnsi="楷体" w:eastAsia="楷体"/>
          <w:b/>
          <w:color w:val="auto"/>
          <w:kern w:val="2"/>
          <w:sz w:val="32"/>
          <w:szCs w:val="24"/>
        </w:rPr>
        <w:t>（</w:t>
      </w:r>
      <w:r>
        <w:rPr>
          <w:rFonts w:hint="eastAsia" w:ascii="楷体" w:hAnsi="楷体" w:eastAsia="楷体"/>
          <w:b/>
          <w:color w:val="auto"/>
          <w:kern w:val="2"/>
          <w:sz w:val="32"/>
          <w:szCs w:val="24"/>
          <w:lang w:eastAsia="zh-CN"/>
        </w:rPr>
        <w:t>六</w:t>
      </w:r>
      <w:r>
        <w:rPr>
          <w:rFonts w:hint="eastAsia" w:ascii="楷体" w:hAnsi="楷体" w:eastAsia="楷体"/>
          <w:b/>
          <w:color w:val="auto"/>
          <w:kern w:val="2"/>
          <w:sz w:val="32"/>
          <w:szCs w:val="24"/>
        </w:rPr>
        <w:t>）</w:t>
      </w:r>
      <w:r>
        <w:rPr>
          <w:rFonts w:hint="eastAsia" w:ascii="楷体" w:hAnsi="楷体" w:eastAsia="楷体"/>
          <w:b/>
          <w:color w:val="auto"/>
          <w:kern w:val="2"/>
          <w:sz w:val="32"/>
          <w:szCs w:val="24"/>
          <w:lang w:eastAsia="zh-CN"/>
        </w:rPr>
        <w:t>其他支出</w:t>
      </w:r>
      <w:r>
        <w:rPr>
          <w:rFonts w:hint="eastAsia" w:ascii="楷体" w:hAnsi="楷体" w:eastAsia="楷体"/>
          <w:b/>
          <w:color w:val="auto"/>
          <w:kern w:val="2"/>
          <w:sz w:val="32"/>
          <w:szCs w:val="24"/>
        </w:rPr>
        <w:t>（类）</w:t>
      </w:r>
    </w:p>
    <w:p>
      <w:pPr>
        <w:widowControl/>
        <w:spacing w:before="240" w:after="240"/>
        <w:ind w:firstLine="640" w:firstLineChars="200"/>
        <w:jc w:val="left"/>
        <w:rPr>
          <w:rFonts w:hint="default" w:ascii="仿宋" w:hAnsi="仿宋" w:eastAsia="仿宋" w:cs="Times New Roman"/>
          <w:color w:val="auto"/>
          <w:sz w:val="32"/>
          <w:szCs w:val="24"/>
        </w:rPr>
      </w:pPr>
      <w:r>
        <w:rPr>
          <w:rFonts w:hint="eastAsia" w:ascii="仿宋" w:hAnsi="仿宋" w:eastAsia="仿宋" w:cs="Times New Roman"/>
          <w:color w:val="auto"/>
          <w:sz w:val="32"/>
          <w:szCs w:val="24"/>
          <w:lang w:eastAsia="zh-CN"/>
        </w:rPr>
        <w:t>其他支出</w:t>
      </w:r>
      <w:r>
        <w:rPr>
          <w:rFonts w:hint="eastAsia" w:ascii="仿宋" w:hAnsi="仿宋" w:eastAsia="仿宋" w:cs="Times New Roman"/>
          <w:color w:val="auto"/>
          <w:sz w:val="32"/>
          <w:szCs w:val="24"/>
        </w:rPr>
        <w:t>类决算数为</w:t>
      </w:r>
      <w:r>
        <w:rPr>
          <w:rFonts w:hint="eastAsia" w:ascii="仿宋" w:hAnsi="仿宋" w:eastAsia="仿宋" w:cs="Times New Roman"/>
          <w:color w:val="auto"/>
          <w:sz w:val="32"/>
          <w:szCs w:val="24"/>
          <w:lang w:val="en-US" w:eastAsia="zh-CN"/>
        </w:rPr>
        <w:t>10.32</w:t>
      </w:r>
      <w:r>
        <w:rPr>
          <w:rFonts w:hint="eastAsia" w:ascii="仿宋" w:hAnsi="仿宋" w:eastAsia="仿宋" w:cs="Times New Roman"/>
          <w:color w:val="auto"/>
          <w:sz w:val="32"/>
          <w:szCs w:val="24"/>
        </w:rPr>
        <w:t>万元，与年初预算相比增加</w:t>
      </w:r>
      <w:r>
        <w:rPr>
          <w:rFonts w:hint="eastAsia" w:ascii="仿宋" w:hAnsi="仿宋" w:eastAsia="仿宋" w:cs="Times New Roman"/>
          <w:color w:val="auto"/>
          <w:sz w:val="32"/>
          <w:szCs w:val="24"/>
          <w:lang w:val="en-US" w:eastAsia="zh-CN"/>
        </w:rPr>
        <w:t>10.32</w:t>
      </w:r>
      <w:r>
        <w:rPr>
          <w:rFonts w:hint="eastAsia" w:ascii="仿宋" w:hAnsi="仿宋" w:eastAsia="仿宋" w:cs="Times New Roman"/>
          <w:color w:val="auto"/>
          <w:sz w:val="32"/>
          <w:szCs w:val="24"/>
        </w:rPr>
        <w:t>万元。其中：</w:t>
      </w:r>
    </w:p>
    <w:p>
      <w:pPr>
        <w:widowControl/>
        <w:spacing w:before="240" w:after="240"/>
        <w:ind w:firstLine="640" w:firstLineChars="200"/>
        <w:jc w:val="left"/>
        <w:rPr>
          <w:rFonts w:hint="eastAsia" w:ascii="仿宋" w:hAnsi="仿宋" w:eastAsia="仿宋" w:cs="Times New Roman"/>
          <w:color w:val="auto"/>
          <w:sz w:val="32"/>
          <w:szCs w:val="24"/>
        </w:rPr>
      </w:pPr>
      <w:r>
        <w:rPr>
          <w:rFonts w:hint="eastAsia" w:ascii="仿宋" w:hAnsi="仿宋" w:eastAsia="仿宋" w:cs="Times New Roman"/>
          <w:color w:val="auto"/>
          <w:sz w:val="32"/>
          <w:szCs w:val="24"/>
        </w:rPr>
        <w:t>1．</w:t>
      </w:r>
      <w:r>
        <w:rPr>
          <w:rFonts w:hint="eastAsia" w:ascii="仿宋" w:hAnsi="仿宋" w:eastAsia="仿宋" w:cs="Times New Roman"/>
          <w:color w:val="auto"/>
          <w:sz w:val="32"/>
          <w:szCs w:val="24"/>
          <w:lang w:eastAsia="zh-CN"/>
        </w:rPr>
        <w:t>其他支出</w:t>
      </w:r>
      <w:r>
        <w:rPr>
          <w:rFonts w:hint="eastAsia" w:ascii="仿宋" w:hAnsi="仿宋" w:eastAsia="仿宋" w:cs="Times New Roman"/>
          <w:color w:val="auto"/>
          <w:sz w:val="32"/>
          <w:szCs w:val="24"/>
        </w:rPr>
        <w:t>（款）</w:t>
      </w:r>
      <w:r>
        <w:rPr>
          <w:rFonts w:hint="eastAsia" w:ascii="仿宋" w:hAnsi="仿宋" w:eastAsia="仿宋" w:cs="Times New Roman"/>
          <w:color w:val="auto"/>
          <w:sz w:val="32"/>
          <w:szCs w:val="24"/>
          <w:lang w:eastAsia="zh-CN"/>
        </w:rPr>
        <w:t>其他支出</w:t>
      </w:r>
      <w:r>
        <w:rPr>
          <w:rFonts w:hint="eastAsia" w:ascii="仿宋" w:hAnsi="仿宋" w:eastAsia="仿宋" w:cs="Times New Roman"/>
          <w:color w:val="auto"/>
          <w:sz w:val="32"/>
          <w:szCs w:val="24"/>
        </w:rPr>
        <w:t>（项）。年初预算</w:t>
      </w:r>
      <w:r>
        <w:rPr>
          <w:rFonts w:hint="eastAsia" w:ascii="仿宋" w:hAnsi="仿宋" w:eastAsia="仿宋" w:cs="Times New Roman"/>
          <w:color w:val="auto"/>
          <w:sz w:val="32"/>
          <w:szCs w:val="24"/>
          <w:lang w:val="en-US" w:eastAsia="zh-CN"/>
        </w:rPr>
        <w:t>0</w:t>
      </w:r>
      <w:r>
        <w:rPr>
          <w:rFonts w:hint="eastAsia" w:ascii="仿宋" w:hAnsi="仿宋" w:eastAsia="仿宋" w:cs="Times New Roman"/>
          <w:color w:val="auto"/>
          <w:sz w:val="32"/>
          <w:szCs w:val="24"/>
        </w:rPr>
        <w:t>万元，支出决算</w:t>
      </w:r>
      <w:r>
        <w:rPr>
          <w:rFonts w:hint="eastAsia" w:ascii="仿宋" w:hAnsi="仿宋" w:eastAsia="仿宋" w:cs="Times New Roman"/>
          <w:color w:val="auto"/>
          <w:sz w:val="32"/>
          <w:szCs w:val="24"/>
          <w:lang w:val="en-US" w:eastAsia="zh-CN"/>
        </w:rPr>
        <w:t>10.32</w:t>
      </w:r>
      <w:r>
        <w:rPr>
          <w:rFonts w:hint="eastAsia" w:ascii="仿宋" w:hAnsi="仿宋" w:eastAsia="仿宋" w:cs="Times New Roman"/>
          <w:color w:val="auto"/>
          <w:sz w:val="32"/>
          <w:szCs w:val="24"/>
        </w:rPr>
        <w:t>万元，完成年初预算的</w:t>
      </w:r>
      <w:r>
        <w:rPr>
          <w:rFonts w:hint="eastAsia" w:ascii="仿宋" w:hAnsi="仿宋" w:eastAsia="仿宋" w:cs="Times New Roman"/>
          <w:color w:val="auto"/>
          <w:sz w:val="32"/>
          <w:szCs w:val="24"/>
          <w:lang w:val="en-US" w:eastAsia="zh-CN"/>
        </w:rPr>
        <w:t>100</w:t>
      </w:r>
      <w:r>
        <w:rPr>
          <w:rFonts w:hint="eastAsia" w:ascii="仿宋" w:hAnsi="仿宋" w:eastAsia="仿宋" w:cs="Times New Roman"/>
          <w:color w:val="auto"/>
          <w:sz w:val="32"/>
          <w:szCs w:val="24"/>
        </w:rPr>
        <w:t>%。决算数与年初预算数的差异原因：</w:t>
      </w:r>
      <w:r>
        <w:rPr>
          <w:rFonts w:hint="eastAsia" w:ascii="仿宋" w:hAnsi="仿宋" w:eastAsia="仿宋" w:cs="Times New Roman"/>
          <w:color w:val="auto"/>
          <w:sz w:val="32"/>
          <w:szCs w:val="24"/>
          <w:lang w:eastAsia="zh-CN"/>
        </w:rPr>
        <w:t>上年结转经费</w:t>
      </w:r>
      <w:r>
        <w:rPr>
          <w:rFonts w:hint="eastAsia" w:ascii="仿宋" w:hAnsi="仿宋" w:eastAsia="仿宋" w:cs="Times New Roman"/>
          <w:color w:val="auto"/>
          <w:sz w:val="32"/>
          <w:szCs w:val="24"/>
        </w:rPr>
        <w:t>。</w:t>
      </w:r>
    </w:p>
    <w:p>
      <w:pPr>
        <w:spacing w:line="600" w:lineRule="exact"/>
        <w:ind w:left="0" w:leftChars="0" w:firstLine="540" w:firstLineChars="200"/>
        <w:outlineLvl w:val="2"/>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eastAsia="黑体" w:cs="黑体"/>
          <w:b/>
          <w:bCs/>
          <w:sz w:val="32"/>
          <w:szCs w:val="36"/>
          <w:highlight w:val="none"/>
        </w:rPr>
        <w:t>六、一般公共预算基本支出决算情况说明</w:t>
      </w:r>
    </w:p>
    <w:p>
      <w:pPr>
        <w:widowControl/>
        <w:spacing w:before="240" w:after="240"/>
        <w:ind w:firstLine="540" w:firstLineChars="200"/>
        <w:jc w:val="left"/>
        <w:rPr>
          <w:rFonts w:hint="eastAsia" w:ascii="仿宋" w:hAnsi="仿宋" w:eastAsia="仿宋" w:cs="Times New Roman"/>
          <w:color w:val="auto"/>
          <w:sz w:val="32"/>
          <w:szCs w:val="24"/>
          <w:lang w:eastAsia="zh-CN"/>
        </w:rPr>
      </w:pPr>
      <w:r>
        <w:rPr>
          <w:rFonts w:ascii="fang_song_gb2312" w:hAnsi="fang_song_gb2312" w:eastAsia="fang_song_gb2312" w:cs="fang_song_gb2312"/>
          <w:color w:val="0E00FE"/>
          <w:kern w:val="0"/>
          <w:sz w:val="27"/>
          <w:szCs w:val="27"/>
        </w:rPr>
        <w:t>   </w:t>
      </w:r>
      <w:r>
        <w:rPr>
          <w:rFonts w:ascii="fang_song_gb2312" w:hAnsi="fang_song_gb2312" w:eastAsia="fang_song_gb2312" w:cs="fang_song_gb2312"/>
          <w:kern w:val="0"/>
          <w:sz w:val="27"/>
          <w:szCs w:val="27"/>
        </w:rPr>
        <w:t xml:space="preserve">  </w:t>
      </w:r>
      <w:r>
        <w:rPr>
          <w:rFonts w:hint="eastAsia" w:ascii="仿宋" w:hAnsi="仿宋" w:eastAsia="仿宋" w:cs="Times New Roman"/>
          <w:color w:val="auto"/>
          <w:sz w:val="32"/>
          <w:szCs w:val="24"/>
          <w:lang w:eastAsia="zh-CN"/>
        </w:rPr>
        <w:t>  赤峰市科学技术局（部门） 2023年度一般公共预算财政拨款基本支出决算 744.50万元，其中：</w:t>
      </w:r>
    </w:p>
    <w:p>
      <w:pPr>
        <w:widowControl/>
        <w:spacing w:before="240" w:after="240"/>
        <w:ind w:firstLine="640" w:firstLineChars="200"/>
        <w:jc w:val="left"/>
        <w:rPr>
          <w:rFonts w:hint="eastAsia" w:ascii="仿宋" w:hAnsi="仿宋" w:eastAsia="仿宋" w:cs="Times New Roman"/>
          <w:color w:val="auto"/>
          <w:sz w:val="32"/>
          <w:szCs w:val="24"/>
          <w:lang w:eastAsia="zh-CN"/>
        </w:rPr>
      </w:pPr>
      <w:r>
        <w:rPr>
          <w:rFonts w:hint="eastAsia" w:ascii="仿宋" w:hAnsi="仿宋" w:eastAsia="仿宋" w:cs="Times New Roman"/>
          <w:color w:val="auto"/>
          <w:sz w:val="32"/>
          <w:szCs w:val="24"/>
          <w:lang w:eastAsia="zh-CN"/>
        </w:rPr>
        <w:t>   </w:t>
      </w:r>
      <w:r>
        <w:rPr>
          <w:rFonts w:hint="eastAsia" w:ascii="Times New Roman" w:hAnsi="Times New Roman" w:eastAsia="仿宋_GB2312" w:cs="仿宋"/>
          <w:b/>
          <w:bCs/>
          <w:kern w:val="2"/>
          <w:sz w:val="32"/>
          <w:szCs w:val="32"/>
          <w:highlight w:val="none"/>
          <w:lang w:val="en-US" w:eastAsia="zh-CN" w:bidi="ar-SA"/>
        </w:rPr>
        <w:t xml:space="preserve"> （一）人员经费 660.53万元。</w:t>
      </w:r>
      <w:r>
        <w:rPr>
          <w:rFonts w:hint="eastAsia" w:ascii="仿宋" w:hAnsi="仿宋" w:eastAsia="仿宋" w:cs="Times New Roman"/>
          <w:color w:val="auto"/>
          <w:sz w:val="32"/>
          <w:szCs w:val="24"/>
          <w:lang w:eastAsia="zh-CN"/>
        </w:rPr>
        <w:t>主要包括：基本工资</w:t>
      </w:r>
      <w:r>
        <w:rPr>
          <w:rFonts w:hint="eastAsia" w:ascii="仿宋" w:hAnsi="仿宋" w:eastAsia="仿宋" w:cs="Times New Roman"/>
          <w:color w:val="auto"/>
          <w:sz w:val="32"/>
          <w:szCs w:val="24"/>
          <w:lang w:val="en-US" w:eastAsia="zh-CN"/>
        </w:rPr>
        <w:t>174.63万元</w:t>
      </w:r>
      <w:r>
        <w:rPr>
          <w:rFonts w:hint="eastAsia" w:ascii="仿宋" w:hAnsi="仿宋" w:eastAsia="仿宋" w:cs="Times New Roman"/>
          <w:color w:val="auto"/>
          <w:sz w:val="32"/>
          <w:szCs w:val="24"/>
          <w:lang w:eastAsia="zh-CN"/>
        </w:rPr>
        <w:t>、津贴补贴</w:t>
      </w:r>
      <w:r>
        <w:rPr>
          <w:rFonts w:hint="eastAsia" w:ascii="仿宋" w:hAnsi="仿宋" w:eastAsia="仿宋" w:cs="Times New Roman"/>
          <w:color w:val="auto"/>
          <w:sz w:val="32"/>
          <w:szCs w:val="24"/>
          <w:lang w:val="en-US" w:eastAsia="zh-CN"/>
        </w:rPr>
        <w:t>120.27万元</w:t>
      </w:r>
      <w:r>
        <w:rPr>
          <w:rFonts w:hint="eastAsia" w:ascii="仿宋" w:hAnsi="仿宋" w:eastAsia="仿宋" w:cs="Times New Roman"/>
          <w:color w:val="auto"/>
          <w:sz w:val="32"/>
          <w:szCs w:val="24"/>
          <w:lang w:eastAsia="zh-CN"/>
        </w:rPr>
        <w:t>、奖金</w:t>
      </w:r>
      <w:r>
        <w:rPr>
          <w:rFonts w:hint="eastAsia" w:ascii="仿宋" w:hAnsi="仿宋" w:eastAsia="仿宋" w:cs="Times New Roman"/>
          <w:color w:val="auto"/>
          <w:sz w:val="32"/>
          <w:szCs w:val="24"/>
          <w:lang w:val="en-US" w:eastAsia="zh-CN"/>
        </w:rPr>
        <w:t>45.47万元</w:t>
      </w:r>
      <w:r>
        <w:rPr>
          <w:rFonts w:hint="eastAsia" w:ascii="仿宋" w:hAnsi="仿宋" w:eastAsia="仿宋" w:cs="Times New Roman"/>
          <w:color w:val="auto"/>
          <w:sz w:val="32"/>
          <w:szCs w:val="24"/>
          <w:lang w:eastAsia="zh-CN"/>
        </w:rPr>
        <w:t>、机关事业单位基本养老保险缴费</w:t>
      </w:r>
      <w:r>
        <w:rPr>
          <w:rFonts w:hint="eastAsia" w:ascii="仿宋" w:hAnsi="仿宋" w:eastAsia="仿宋" w:cs="Times New Roman"/>
          <w:color w:val="auto"/>
          <w:sz w:val="32"/>
          <w:szCs w:val="24"/>
          <w:lang w:val="en-US" w:eastAsia="zh-CN"/>
        </w:rPr>
        <w:t>49.79万元</w:t>
      </w:r>
      <w:r>
        <w:rPr>
          <w:rFonts w:hint="eastAsia" w:ascii="仿宋" w:hAnsi="仿宋" w:eastAsia="仿宋" w:cs="Times New Roman"/>
          <w:color w:val="auto"/>
          <w:sz w:val="32"/>
          <w:szCs w:val="24"/>
          <w:lang w:eastAsia="zh-CN"/>
        </w:rPr>
        <w:t>、职工基本医疗保险缴费</w:t>
      </w:r>
      <w:r>
        <w:rPr>
          <w:rFonts w:hint="eastAsia" w:ascii="仿宋" w:hAnsi="仿宋" w:eastAsia="仿宋" w:cs="Times New Roman"/>
          <w:color w:val="auto"/>
          <w:sz w:val="32"/>
          <w:szCs w:val="24"/>
          <w:lang w:val="en-US" w:eastAsia="zh-CN"/>
        </w:rPr>
        <w:t>25.25万元、公务员医疗补助缴费15.15万元、</w:t>
      </w:r>
      <w:r>
        <w:rPr>
          <w:rFonts w:hint="eastAsia" w:ascii="仿宋" w:hAnsi="仿宋" w:eastAsia="仿宋" w:cs="Times New Roman"/>
          <w:color w:val="auto"/>
          <w:sz w:val="32"/>
          <w:szCs w:val="24"/>
          <w:lang w:eastAsia="zh-CN"/>
        </w:rPr>
        <w:t>其他社会保障缴费</w:t>
      </w:r>
      <w:r>
        <w:rPr>
          <w:rFonts w:hint="eastAsia" w:ascii="仿宋" w:hAnsi="仿宋" w:eastAsia="仿宋" w:cs="Times New Roman"/>
          <w:color w:val="auto"/>
          <w:sz w:val="32"/>
          <w:szCs w:val="24"/>
          <w:lang w:val="en-US" w:eastAsia="zh-CN"/>
        </w:rPr>
        <w:t>1.64万元</w:t>
      </w:r>
      <w:r>
        <w:rPr>
          <w:rFonts w:hint="eastAsia" w:ascii="仿宋" w:hAnsi="仿宋" w:eastAsia="仿宋" w:cs="Times New Roman"/>
          <w:color w:val="auto"/>
          <w:sz w:val="32"/>
          <w:szCs w:val="24"/>
          <w:lang w:eastAsia="zh-CN"/>
        </w:rPr>
        <w:t>、绩效工资</w:t>
      </w:r>
      <w:r>
        <w:rPr>
          <w:rFonts w:hint="eastAsia" w:ascii="仿宋" w:hAnsi="仿宋" w:eastAsia="仿宋" w:cs="Times New Roman"/>
          <w:color w:val="auto"/>
          <w:sz w:val="32"/>
          <w:szCs w:val="24"/>
          <w:lang w:val="en-US" w:eastAsia="zh-CN"/>
        </w:rPr>
        <w:t>34.70万元</w:t>
      </w:r>
      <w:r>
        <w:rPr>
          <w:rFonts w:hint="eastAsia" w:ascii="仿宋" w:hAnsi="仿宋" w:eastAsia="仿宋" w:cs="Times New Roman"/>
          <w:color w:val="auto"/>
          <w:sz w:val="32"/>
          <w:szCs w:val="24"/>
          <w:lang w:eastAsia="zh-CN"/>
        </w:rPr>
        <w:t>、其他工资福利支出、离休费</w:t>
      </w:r>
      <w:r>
        <w:rPr>
          <w:rFonts w:hint="eastAsia" w:ascii="仿宋" w:hAnsi="仿宋" w:eastAsia="仿宋" w:cs="Times New Roman"/>
          <w:color w:val="auto"/>
          <w:sz w:val="32"/>
          <w:szCs w:val="24"/>
          <w:lang w:val="en-US" w:eastAsia="zh-CN"/>
        </w:rPr>
        <w:t>17.60万元</w:t>
      </w:r>
      <w:r>
        <w:rPr>
          <w:rFonts w:hint="eastAsia" w:ascii="仿宋" w:hAnsi="仿宋" w:eastAsia="仿宋" w:cs="Times New Roman"/>
          <w:color w:val="auto"/>
          <w:sz w:val="32"/>
          <w:szCs w:val="24"/>
          <w:lang w:eastAsia="zh-CN"/>
        </w:rPr>
        <w:t>、退休费</w:t>
      </w:r>
      <w:r>
        <w:rPr>
          <w:rFonts w:hint="eastAsia" w:ascii="仿宋" w:hAnsi="仿宋" w:eastAsia="仿宋" w:cs="Times New Roman"/>
          <w:color w:val="auto"/>
          <w:sz w:val="32"/>
          <w:szCs w:val="24"/>
          <w:lang w:val="en-US" w:eastAsia="zh-CN"/>
        </w:rPr>
        <w:t>68.19万元</w:t>
      </w:r>
      <w:r>
        <w:rPr>
          <w:rFonts w:hint="eastAsia" w:ascii="仿宋" w:hAnsi="仿宋" w:eastAsia="仿宋" w:cs="Times New Roman"/>
          <w:color w:val="auto"/>
          <w:sz w:val="32"/>
          <w:szCs w:val="24"/>
          <w:lang w:eastAsia="zh-CN"/>
        </w:rPr>
        <w:t>、抚恤金</w:t>
      </w:r>
      <w:r>
        <w:rPr>
          <w:rFonts w:hint="eastAsia" w:ascii="仿宋" w:hAnsi="仿宋" w:eastAsia="仿宋" w:cs="Times New Roman"/>
          <w:color w:val="auto"/>
          <w:sz w:val="32"/>
          <w:szCs w:val="24"/>
          <w:lang w:val="en-US" w:eastAsia="zh-CN"/>
        </w:rPr>
        <w:t>61.10万元</w:t>
      </w:r>
      <w:r>
        <w:rPr>
          <w:rFonts w:hint="eastAsia" w:ascii="仿宋" w:hAnsi="仿宋" w:eastAsia="仿宋" w:cs="Times New Roman"/>
          <w:color w:val="auto"/>
          <w:sz w:val="32"/>
          <w:szCs w:val="24"/>
          <w:lang w:eastAsia="zh-CN"/>
        </w:rPr>
        <w:t>、生活补助</w:t>
      </w:r>
      <w:r>
        <w:rPr>
          <w:rFonts w:hint="eastAsia" w:ascii="仿宋" w:hAnsi="仿宋" w:eastAsia="仿宋" w:cs="Times New Roman"/>
          <w:color w:val="auto"/>
          <w:sz w:val="32"/>
          <w:szCs w:val="24"/>
          <w:lang w:val="en-US" w:eastAsia="zh-CN"/>
        </w:rPr>
        <w:t>3.47万元</w:t>
      </w:r>
      <w:r>
        <w:rPr>
          <w:rFonts w:hint="eastAsia" w:ascii="仿宋" w:hAnsi="仿宋" w:eastAsia="仿宋" w:cs="Times New Roman"/>
          <w:color w:val="auto"/>
          <w:sz w:val="32"/>
          <w:szCs w:val="24"/>
          <w:lang w:eastAsia="zh-CN"/>
        </w:rPr>
        <w:t>、住房公积金</w:t>
      </w:r>
      <w:r>
        <w:rPr>
          <w:rFonts w:hint="eastAsia" w:ascii="仿宋" w:hAnsi="仿宋" w:eastAsia="仿宋" w:cs="Times New Roman"/>
          <w:color w:val="auto"/>
          <w:sz w:val="32"/>
          <w:szCs w:val="24"/>
          <w:lang w:val="en-US" w:eastAsia="zh-CN"/>
        </w:rPr>
        <w:t>41.97万元</w:t>
      </w:r>
      <w:r>
        <w:rPr>
          <w:rFonts w:hint="eastAsia" w:ascii="仿宋" w:hAnsi="仿宋" w:eastAsia="仿宋" w:cs="Times New Roman"/>
          <w:color w:val="auto"/>
          <w:sz w:val="32"/>
          <w:szCs w:val="24"/>
          <w:lang w:eastAsia="zh-CN"/>
        </w:rPr>
        <w:t>、其他对个人和家庭的补助支出</w:t>
      </w:r>
      <w:r>
        <w:rPr>
          <w:rFonts w:hint="eastAsia" w:ascii="仿宋" w:hAnsi="仿宋" w:eastAsia="仿宋" w:cs="Times New Roman"/>
          <w:color w:val="auto"/>
          <w:sz w:val="32"/>
          <w:szCs w:val="24"/>
          <w:lang w:val="en-US" w:eastAsia="zh-CN"/>
        </w:rPr>
        <w:t>1.29万元</w:t>
      </w:r>
      <w:r>
        <w:rPr>
          <w:rFonts w:hint="eastAsia" w:ascii="仿宋" w:hAnsi="仿宋" w:eastAsia="仿宋" w:cs="Times New Roman"/>
          <w:color w:val="auto"/>
          <w:sz w:val="32"/>
          <w:szCs w:val="24"/>
          <w:lang w:eastAsia="zh-CN"/>
        </w:rPr>
        <w:t>等。</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b/>
          <w:bCs/>
          <w:kern w:val="0"/>
          <w:sz w:val="27"/>
          <w:szCs w:val="27"/>
        </w:rPr>
        <w:t xml:space="preserve">    </w:t>
      </w:r>
      <w:r>
        <w:rPr>
          <w:rFonts w:hint="eastAsia" w:ascii="Times New Roman" w:hAnsi="Times New Roman" w:eastAsia="仿宋_GB2312" w:cs="仿宋"/>
          <w:b/>
          <w:bCs/>
          <w:kern w:val="2"/>
          <w:sz w:val="32"/>
          <w:szCs w:val="32"/>
          <w:highlight w:val="none"/>
          <w:lang w:val="en-US" w:eastAsia="zh-CN" w:bidi="ar-SA"/>
        </w:rPr>
        <w:t>（二）公用经费 83.97万元。</w:t>
      </w:r>
      <w:r>
        <w:rPr>
          <w:rFonts w:hint="eastAsia" w:ascii="Times New Roman" w:hAnsi="Times New Roman" w:eastAsia="仿宋_GB2312" w:cs="仿宋"/>
          <w:kern w:val="2"/>
          <w:sz w:val="32"/>
          <w:szCs w:val="32"/>
          <w:highlight w:val="none"/>
          <w:lang w:val="en-US" w:eastAsia="zh-CN" w:bidi="ar-SA"/>
        </w:rPr>
        <w:t>主要包括：办公费15.27万元、印刷费3.09万元、手续费0.04万元、水费0.12万元、电费1.09万元、邮电费3.45万元、取暖费1.83万元、差旅费16.49万元、维修（护）费0.37万元、会议费2.31万元、培训费2.04万元、公务接待费0.96万元、、劳务费5.36万元、福利费6.68万元、其他交通费用19.07万元、其他商品和服务支出4.20万元、其他资本性支出1.60万元等。</w:t>
      </w:r>
    </w:p>
    <w:p>
      <w:pPr>
        <w:spacing w:beforeLines="0" w:afterLines="0" w:line="600" w:lineRule="exact"/>
        <w:ind w:firstLine="643"/>
        <w:jc w:val="both"/>
        <w:rPr>
          <w:rFonts w:hint="eastAsia" w:ascii="黑体" w:hAnsi="黑体" w:eastAsia="黑体"/>
          <w:b/>
          <w:color w:val="000000"/>
          <w:kern w:val="2"/>
          <w:sz w:val="32"/>
          <w:szCs w:val="24"/>
        </w:rPr>
      </w:pPr>
      <w:r>
        <w:rPr>
          <w:rFonts w:ascii="fang_song_gb2312" w:hAnsi="fang_song_gb2312" w:eastAsia="fang_song_gb2312" w:cs="fang_song_gb2312"/>
          <w:color w:val="0E00FE"/>
          <w:kern w:val="0"/>
          <w:sz w:val="27"/>
          <w:szCs w:val="27"/>
        </w:rPr>
        <w:t xml:space="preserve">    </w:t>
      </w:r>
      <w:r>
        <w:rPr>
          <w:rFonts w:hint="eastAsia" w:ascii="黑体" w:hAnsi="黑体" w:eastAsia="黑体"/>
          <w:b/>
          <w:color w:val="000000"/>
          <w:kern w:val="2"/>
          <w:sz w:val="32"/>
          <w:szCs w:val="24"/>
        </w:rPr>
        <w:t>    七、一般公共预算财政拨款项目支出决算情况说明</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color w:val="0E00FE"/>
          <w:kern w:val="0"/>
          <w:sz w:val="27"/>
          <w:szCs w:val="27"/>
        </w:rPr>
        <w:t xml:space="preserve">  </w:t>
      </w:r>
      <w:r>
        <w:rPr>
          <w:rFonts w:ascii="fang_song_gb2312" w:hAnsi="fang_song_gb2312" w:eastAsia="fang_song_gb2312" w:cs="fang_song_gb2312"/>
          <w:kern w:val="0"/>
          <w:sz w:val="27"/>
          <w:szCs w:val="27"/>
        </w:rPr>
        <w:t xml:space="preserve">  </w:t>
      </w:r>
      <w:r>
        <w:rPr>
          <w:rFonts w:hint="eastAsia" w:ascii="Times New Roman" w:hAnsi="Times New Roman" w:eastAsia="仿宋_GB2312" w:cs="仿宋"/>
          <w:kern w:val="2"/>
          <w:sz w:val="32"/>
          <w:szCs w:val="32"/>
          <w:highlight w:val="none"/>
          <w:lang w:val="en-US" w:eastAsia="zh-CN" w:bidi="ar-SA"/>
        </w:rPr>
        <w:t>  赤峰市科学技术局（部门） 2023年度一般公共预算财政拨款项目支出决算 846.52万元，其中：</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b/>
          <w:bCs/>
          <w:kern w:val="0"/>
          <w:sz w:val="27"/>
          <w:szCs w:val="27"/>
        </w:rPr>
        <w:t xml:space="preserve">    </w:t>
      </w:r>
      <w:r>
        <w:rPr>
          <w:rFonts w:hint="eastAsia" w:ascii="Times New Roman" w:hAnsi="Times New Roman" w:eastAsia="仿宋_GB2312" w:cs="仿宋"/>
          <w:b/>
          <w:bCs/>
          <w:kern w:val="2"/>
          <w:sz w:val="32"/>
          <w:szCs w:val="32"/>
          <w:highlight w:val="none"/>
          <w:lang w:val="en-US" w:eastAsia="zh-CN" w:bidi="ar-SA"/>
        </w:rPr>
        <w:t>（一）工资福利支出 0.00万元。</w:t>
      </w:r>
      <w:r>
        <w:rPr>
          <w:rFonts w:hint="eastAsia" w:ascii="Times New Roman" w:hAnsi="Times New Roman" w:eastAsia="仿宋_GB2312" w:cs="仿宋"/>
          <w:kern w:val="2"/>
          <w:sz w:val="32"/>
          <w:szCs w:val="32"/>
          <w:highlight w:val="none"/>
          <w:lang w:val="en-US" w:eastAsia="zh-CN" w:bidi="ar-SA"/>
        </w:rPr>
        <w:t>主要包括：基本工资、津贴补贴、奖金、伙食补助费、绩效工资、机关事业单位基本养老保险缴费、职业年金缴费、职工基本医疗保险缴费、公务员医疗补助缴费、其他社会保障缴费、住房公积金、医疗费、其他工资福利支出等。</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b/>
          <w:bCs/>
          <w:kern w:val="0"/>
          <w:sz w:val="27"/>
          <w:szCs w:val="27"/>
        </w:rPr>
        <w:t>   </w:t>
      </w:r>
      <w:r>
        <w:rPr>
          <w:rFonts w:hint="eastAsia" w:ascii="Times New Roman" w:hAnsi="Times New Roman" w:eastAsia="仿宋_GB2312" w:cs="仿宋"/>
          <w:b/>
          <w:bCs/>
          <w:kern w:val="2"/>
          <w:sz w:val="32"/>
          <w:szCs w:val="32"/>
          <w:highlight w:val="none"/>
          <w:lang w:val="en-US" w:eastAsia="zh-CN" w:bidi="ar-SA"/>
        </w:rPr>
        <w:t xml:space="preserve"> （二）商品和服务支出 817.46万元。</w:t>
      </w:r>
      <w:r>
        <w:rPr>
          <w:rFonts w:hint="eastAsia" w:ascii="Times New Roman" w:hAnsi="Times New Roman" w:eastAsia="仿宋_GB2312" w:cs="仿宋"/>
          <w:kern w:val="2"/>
          <w:sz w:val="32"/>
          <w:szCs w:val="32"/>
          <w:highlight w:val="none"/>
          <w:lang w:val="en-US" w:eastAsia="zh-CN" w:bidi="ar-SA"/>
        </w:rPr>
        <w:t>主要包括：办公费0.65万元 、印刷费18.20万元、奖励金0.60万元、邮电费0.11万元、差旅费14.93万元、维修（护）费0.37万元、会议费6.68万元、培训费45.90万元、专用材料费4.32万元、劳务费9.92万元、委托业务费1.60万元、办公设备购置12.84万元、信息网络及软件购置更新15.62万元、其他交通费用4.18万元、其他商品和服务支出710.60万元等。</w:t>
      </w:r>
    </w:p>
    <w:p>
      <w:pPr>
        <w:widowControl/>
        <w:spacing w:before="240" w:after="240"/>
        <w:jc w:val="left"/>
        <w:rPr>
          <w:rFonts w:ascii="Times New Roman" w:hAnsi="Times New Roman" w:eastAsia="Times New Roman" w:cs="Times New Roman"/>
          <w:kern w:val="0"/>
          <w:sz w:val="24"/>
        </w:rPr>
      </w:pPr>
      <w:r>
        <w:rPr>
          <w:rFonts w:ascii="Calibri" w:hAnsi="Calibri" w:eastAsia="Calibri" w:cs="Calibri"/>
          <w:b/>
          <w:bCs/>
          <w:kern w:val="0"/>
          <w:sz w:val="27"/>
          <w:szCs w:val="27"/>
        </w:rPr>
        <w:t> </w:t>
      </w:r>
      <w:r>
        <w:rPr>
          <w:rFonts w:hint="eastAsia" w:eastAsia="黑体" w:cs="黑体"/>
          <w:b/>
          <w:bCs/>
          <w:sz w:val="32"/>
          <w:szCs w:val="36"/>
          <w:highlight w:val="none"/>
          <w:lang w:val="en-US" w:eastAsia="zh-CN"/>
        </w:rPr>
        <w:t xml:space="preserve">   八、财政拨款“三公”经费支出决算情况说明</w:t>
      </w:r>
    </w:p>
    <w:p>
      <w:pPr>
        <w:widowControl/>
        <w:spacing w:before="240" w:after="240"/>
        <w:jc w:val="left"/>
        <w:rPr>
          <w:rFonts w:hint="eastAsia" w:ascii="楷体" w:hAnsi="楷体" w:eastAsia="楷体"/>
          <w:b/>
          <w:color w:val="auto"/>
          <w:kern w:val="2"/>
          <w:sz w:val="32"/>
          <w:szCs w:val="24"/>
        </w:rPr>
      </w:pPr>
      <w:r>
        <w:rPr>
          <w:rFonts w:ascii="kai_ti_gb2312" w:hAnsi="kai_ti_gb2312" w:eastAsia="kai_ti_gb2312" w:cs="kai_ti_gb2312"/>
          <w:b/>
          <w:bCs/>
          <w:kern w:val="0"/>
          <w:sz w:val="27"/>
          <w:szCs w:val="27"/>
        </w:rPr>
        <w:t>   </w:t>
      </w:r>
      <w:r>
        <w:rPr>
          <w:rFonts w:hint="eastAsia" w:ascii="楷体" w:hAnsi="楷体" w:eastAsia="楷体"/>
          <w:b/>
          <w:color w:val="auto"/>
          <w:kern w:val="2"/>
          <w:sz w:val="32"/>
          <w:szCs w:val="24"/>
        </w:rPr>
        <w:t xml:space="preserve"> （一）财政拨款“三公”经费支出总体情况说明。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xml:space="preserve">    </w:t>
      </w:r>
      <w:r>
        <w:rPr>
          <w:rFonts w:hint="eastAsia" w:ascii="Times New Roman" w:hAnsi="Times New Roman" w:eastAsia="仿宋_GB2312" w:cs="仿宋"/>
          <w:kern w:val="2"/>
          <w:sz w:val="32"/>
          <w:szCs w:val="32"/>
          <w:highlight w:val="none"/>
          <w:lang w:val="en-US" w:eastAsia="zh-CN" w:bidi="ar-SA"/>
        </w:rPr>
        <w:t xml:space="preserve">赤峰市科学技术局（部门） 2023年度财政拨款“三公”经费全年预算 1.00万元，支出决算 0.96万元，完成预算的 96.22%。其中：因公出国（境）费全年预算 0.00万元，支出决算 0.00万元，完成预算的 </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%；公务用车购置及运行维护费全年预算 0.00万元，支出决算 0.00万元，完成预算的</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%；公务接待费全年预算 1.00万元，支出决算 0.96万元，完成预算的 96.22%。2023年度一般公共预算财政拨款“三公”经费支出决算与预算差异原因</w:t>
      </w:r>
      <w:r>
        <w:rPr>
          <w:rFonts w:hint="eastAsia" w:ascii="仿宋_GB2312" w:hAnsi="仿宋_GB2312" w:eastAsia="仿宋_GB2312" w:cs="Times New Roman"/>
          <w:color w:val="auto"/>
          <w:kern w:val="2"/>
          <w:sz w:val="32"/>
          <w:szCs w:val="24"/>
          <w:lang w:val="en-US" w:eastAsia="zh-CN"/>
        </w:rPr>
        <w:t>2023年公务接待支出减少</w:t>
      </w:r>
      <w:r>
        <w:rPr>
          <w:rFonts w:hint="eastAsia" w:ascii="Times New Roman" w:hAnsi="Times New Roman" w:eastAsia="仿宋_GB2312" w:cs="仿宋"/>
          <w:kern w:val="2"/>
          <w:sz w:val="32"/>
          <w:szCs w:val="32"/>
          <w:highlight w:val="none"/>
          <w:lang w:val="en-US" w:eastAsia="zh-CN" w:bidi="ar-SA"/>
        </w:rPr>
        <w:t>。</w:t>
      </w:r>
    </w:p>
    <w:p>
      <w:pPr>
        <w:widowControl/>
        <w:spacing w:before="240" w:after="240"/>
        <w:jc w:val="left"/>
        <w:rPr>
          <w:rFonts w:hint="eastAsia" w:ascii="楷体" w:hAnsi="楷体" w:eastAsia="楷体"/>
          <w:b/>
          <w:color w:val="auto"/>
          <w:kern w:val="2"/>
          <w:sz w:val="32"/>
          <w:szCs w:val="24"/>
        </w:rPr>
      </w:pPr>
      <w:r>
        <w:rPr>
          <w:rFonts w:ascii="kai_ti_gb2312" w:hAnsi="kai_ti_gb2312" w:eastAsia="kai_ti_gb2312" w:cs="kai_ti_gb2312"/>
          <w:b/>
          <w:bCs/>
          <w:kern w:val="0"/>
          <w:sz w:val="27"/>
          <w:szCs w:val="27"/>
        </w:rPr>
        <w:t xml:space="preserve">  </w:t>
      </w:r>
      <w:r>
        <w:rPr>
          <w:rFonts w:hint="eastAsia" w:ascii="楷体" w:hAnsi="楷体" w:eastAsia="楷体"/>
          <w:b/>
          <w:color w:val="auto"/>
          <w:kern w:val="2"/>
          <w:sz w:val="32"/>
          <w:szCs w:val="24"/>
        </w:rPr>
        <w:t>  （二）财政拨款“三公”经费支出具体情况说明。</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kern w:val="0"/>
          <w:sz w:val="27"/>
          <w:szCs w:val="27"/>
        </w:rPr>
        <w:t xml:space="preserve">  </w:t>
      </w:r>
      <w:r>
        <w:rPr>
          <w:rFonts w:hint="eastAsia" w:ascii="Times New Roman" w:hAnsi="Times New Roman" w:eastAsia="仿宋_GB2312" w:cs="仿宋"/>
          <w:kern w:val="2"/>
          <w:sz w:val="32"/>
          <w:szCs w:val="32"/>
          <w:highlight w:val="none"/>
          <w:lang w:val="en-US" w:eastAsia="zh-CN" w:bidi="ar-SA"/>
        </w:rPr>
        <w:t>  赤峰市科学技术局（部门） 2023年度财政拨款“三公”经费支出 0.96万元。因公出国（境）费支出 0.00万元，占 0.00%；公务用车购置及运行维护费支出 0.00万元，占 0.00%；公务接待费支出 0.96万元，占 100.00%。其中：</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    1.因公出国（境）费支出 0.00万元，全年出国（境）团组0 个，累计0 人次。与上年决算相比，增加0.00万元，增长</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Times New Roman" w:hAnsi="Times New Roman" w:eastAsia="仿宋_GB2312" w:cs="仿宋"/>
          <w:kern w:val="2"/>
          <w:sz w:val="32"/>
          <w:szCs w:val="32"/>
          <w:highlight w:val="none"/>
          <w:lang w:val="en-US" w:eastAsia="zh-CN" w:bidi="ar-SA"/>
        </w:rPr>
        <w:t>。</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times_new_roman" w:hAnsi="times_new_roman" w:eastAsia="times_new_roman" w:cs="times_new_roman"/>
          <w:kern w:val="0"/>
          <w:sz w:val="27"/>
          <w:szCs w:val="27"/>
        </w:rPr>
        <w:t xml:space="preserve">  </w:t>
      </w:r>
      <w:r>
        <w:rPr>
          <w:rFonts w:hint="eastAsia" w:ascii="Times New Roman" w:hAnsi="Times New Roman" w:eastAsia="仿宋_GB2312" w:cs="仿宋"/>
          <w:kern w:val="2"/>
          <w:sz w:val="32"/>
          <w:szCs w:val="32"/>
          <w:highlight w:val="none"/>
          <w:lang w:val="en-US" w:eastAsia="zh-CN" w:bidi="ar-SA"/>
        </w:rPr>
        <w:t>  2.公务用车购置及运行维护费支出 0.00万元。其中：</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kern w:val="0"/>
          <w:sz w:val="27"/>
          <w:szCs w:val="27"/>
        </w:rPr>
        <w:t xml:space="preserve">    </w:t>
      </w:r>
      <w:r>
        <w:rPr>
          <w:rFonts w:hint="eastAsia" w:ascii="Times New Roman" w:hAnsi="Times New Roman" w:eastAsia="仿宋_GB2312" w:cs="仿宋"/>
          <w:kern w:val="2"/>
          <w:sz w:val="32"/>
          <w:szCs w:val="32"/>
          <w:highlight w:val="none"/>
          <w:lang w:val="en-US" w:eastAsia="zh-CN" w:bidi="ar-SA"/>
        </w:rPr>
        <w:t>（1）公务用车购置支出 0.00万元。本年度使用财政拨款购置公务用车0 辆，开支内容：</w:t>
      </w:r>
      <w:r>
        <w:rPr>
          <w:rFonts w:hint="eastAsia" w:ascii="仿宋_GB2312" w:hAnsi="仿宋_GB2312" w:eastAsia="仿宋_GB2312" w:cs="仿宋"/>
          <w:b w:val="0"/>
          <w:bCs w:val="0"/>
          <w:sz w:val="32"/>
          <w:szCs w:val="32"/>
          <w:highlight w:val="none"/>
          <w:lang w:eastAsia="zh-CN"/>
        </w:rPr>
        <w:t>不存在此项内容</w:t>
      </w:r>
      <w:r>
        <w:rPr>
          <w:rFonts w:hint="eastAsia" w:ascii="Times New Roman" w:hAnsi="Times New Roman" w:eastAsia="仿宋_GB2312" w:cs="仿宋"/>
          <w:kern w:val="2"/>
          <w:sz w:val="32"/>
          <w:szCs w:val="32"/>
          <w:highlight w:val="none"/>
          <w:lang w:val="en-US" w:eastAsia="zh-CN" w:bidi="ar-SA"/>
        </w:rPr>
        <w:t>。与上年决算相比，增加 0.00万元，增长</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Times New Roman" w:hAnsi="Times New Roman" w:eastAsia="仿宋_GB2312" w:cs="仿宋"/>
          <w:kern w:val="2"/>
          <w:sz w:val="32"/>
          <w:szCs w:val="32"/>
          <w:highlight w:val="none"/>
          <w:lang w:val="en-US" w:eastAsia="zh-CN" w:bidi="ar-SA"/>
        </w:rPr>
        <w:t>。</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kern w:val="0"/>
          <w:sz w:val="27"/>
          <w:szCs w:val="27"/>
        </w:rPr>
        <w:t xml:space="preserve">    </w:t>
      </w:r>
      <w:r>
        <w:rPr>
          <w:rFonts w:hint="eastAsia" w:ascii="Times New Roman" w:hAnsi="Times New Roman" w:eastAsia="仿宋_GB2312" w:cs="仿宋"/>
          <w:kern w:val="2"/>
          <w:sz w:val="32"/>
          <w:szCs w:val="32"/>
          <w:highlight w:val="none"/>
          <w:lang w:val="en-US" w:eastAsia="zh-CN" w:bidi="ar-SA"/>
        </w:rPr>
        <w:t>（2）公务用车运行维护费支出 0.00万元。公务用车运行维护费主要用于按规定保留的公务用车的燃料费、维修费、过桥过路费、保险费、安全奖励费用等支出。截至2023年12月31日，使用财政拨款开支的公务用车保有量为0 辆。与上年决算相比，增加0.00万元，增长</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%，变动原因：</w:t>
      </w:r>
      <w:r>
        <w:rPr>
          <w:rFonts w:hint="eastAsia" w:ascii="仿宋_GB2312" w:hAnsi="仿宋_GB2312" w:eastAsia="仿宋_GB2312" w:cs="仿宋"/>
          <w:b w:val="0"/>
          <w:bCs w:val="0"/>
          <w:sz w:val="32"/>
          <w:szCs w:val="32"/>
          <w:highlight w:val="none"/>
          <w:lang w:eastAsia="zh-CN"/>
        </w:rPr>
        <w:t>不存在此项内容</w:t>
      </w:r>
      <w:r>
        <w:rPr>
          <w:rFonts w:hint="eastAsia" w:ascii="Times New Roman" w:hAnsi="Times New Roman" w:eastAsia="仿宋_GB2312" w:cs="仿宋"/>
          <w:kern w:val="2"/>
          <w:sz w:val="32"/>
          <w:szCs w:val="32"/>
          <w:highlight w:val="none"/>
          <w:lang w:val="en-US" w:eastAsia="zh-CN" w:bidi="ar-SA"/>
        </w:rPr>
        <w:t>。</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Times New Roman" w:hAnsi="Times New Roman" w:eastAsia="仿宋_GB2312" w:cs="仿宋"/>
          <w:kern w:val="2"/>
          <w:sz w:val="32"/>
          <w:szCs w:val="32"/>
          <w:highlight w:val="none"/>
          <w:lang w:val="en-US" w:eastAsia="zh-CN" w:bidi="ar-SA"/>
        </w:rPr>
        <w:t xml:space="preserve"> 3.公务接待费支出 0.96万元。其中：国内公务接待支出 0.96万元，接待6 批次，81 人次，开支内容：</w:t>
      </w:r>
      <w:r>
        <w:rPr>
          <w:rFonts w:hint="eastAsia" w:ascii="仿宋_GB2312" w:hAnsi="仿宋_GB2312" w:eastAsia="仿宋_GB2312" w:cs="Times New Roman"/>
          <w:color w:val="auto"/>
          <w:kern w:val="2"/>
          <w:sz w:val="32"/>
          <w:szCs w:val="24"/>
          <w:lang w:eastAsia="zh-CN"/>
        </w:rPr>
        <w:t>公务接待</w:t>
      </w:r>
      <w:r>
        <w:rPr>
          <w:rFonts w:hint="eastAsia" w:ascii="Times New Roman" w:hAnsi="Times New Roman" w:eastAsia="仿宋_GB2312" w:cs="仿宋"/>
          <w:kern w:val="2"/>
          <w:sz w:val="32"/>
          <w:szCs w:val="32"/>
          <w:highlight w:val="none"/>
          <w:lang w:val="en-US" w:eastAsia="zh-CN" w:bidi="ar-SA"/>
        </w:rPr>
        <w:t>；国（境）外公务接待支出 0.00万元，接待0 批次，0 人次，开支内容：</w:t>
      </w:r>
      <w:r>
        <w:rPr>
          <w:rFonts w:hint="eastAsia" w:ascii="仿宋_GB2312" w:hAnsi="仿宋_GB2312" w:eastAsia="仿宋_GB2312" w:cs="仿宋"/>
          <w:b w:val="0"/>
          <w:bCs w:val="0"/>
          <w:sz w:val="32"/>
          <w:szCs w:val="32"/>
          <w:highlight w:val="none"/>
          <w:lang w:eastAsia="zh-CN"/>
        </w:rPr>
        <w:t>不存在此项内容</w:t>
      </w:r>
      <w:r>
        <w:rPr>
          <w:rFonts w:hint="eastAsia" w:ascii="Times New Roman" w:hAnsi="Times New Roman" w:eastAsia="仿宋_GB2312" w:cs="仿宋"/>
          <w:kern w:val="2"/>
          <w:sz w:val="32"/>
          <w:szCs w:val="32"/>
          <w:highlight w:val="none"/>
          <w:lang w:val="en-US" w:eastAsia="zh-CN" w:bidi="ar-SA"/>
        </w:rPr>
        <w:t>。与上年决算相比，增加 0.86万元，增长 898.33%，变动原因：</w:t>
      </w:r>
      <w:r>
        <w:rPr>
          <w:rFonts w:hint="eastAsia" w:ascii="仿宋_GB2312" w:hAnsi="仿宋_GB2312" w:eastAsia="仿宋_GB2312" w:cs="Times New Roman"/>
          <w:color w:val="auto"/>
          <w:kern w:val="2"/>
          <w:sz w:val="32"/>
          <w:szCs w:val="24"/>
          <w:lang w:val="en-US" w:eastAsia="zh-CN"/>
        </w:rPr>
        <w:t>2023年公务接待支出增加</w:t>
      </w:r>
      <w:r>
        <w:rPr>
          <w:rFonts w:hint="eastAsia" w:ascii="Times New Roman" w:hAnsi="Times New Roman" w:eastAsia="仿宋_GB2312" w:cs="仿宋"/>
          <w:kern w:val="2"/>
          <w:sz w:val="32"/>
          <w:szCs w:val="32"/>
          <w:highlight w:val="none"/>
          <w:lang w:val="en-US" w:eastAsia="zh-CN" w:bidi="ar-SA"/>
        </w:rPr>
        <w:t>。</w:t>
      </w:r>
    </w:p>
    <w:p>
      <w:pPr>
        <w:widowControl/>
        <w:spacing w:before="240" w:after="240"/>
        <w:jc w:val="left"/>
        <w:rPr>
          <w:rFonts w:hint="eastAsia" w:eastAsia="黑体" w:cs="黑体"/>
          <w:b/>
          <w:bCs/>
          <w:sz w:val="32"/>
          <w:szCs w:val="36"/>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rPr>
        <w:t xml:space="preserve"> 九、政府性基金预算财政拨款支出决算情况说明</w:t>
      </w:r>
    </w:p>
    <w:p>
      <w:pPr>
        <w:widowControl/>
        <w:spacing w:before="240" w:after="240"/>
        <w:rPr>
          <w:rFonts w:hint="eastAsia" w:ascii="Times New Roman" w:hAnsi="Times New Roman" w:eastAsia="仿宋_GB2312" w:cs="仿宋"/>
          <w:kern w:val="2"/>
          <w:sz w:val="32"/>
          <w:szCs w:val="32"/>
          <w:highlight w:val="none"/>
          <w:lang w:val="en-US" w:eastAsia="zh-CN" w:bidi="ar-SA"/>
        </w:rPr>
      </w:pPr>
      <w:r>
        <w:rPr>
          <w:rFonts w:ascii="fang_song_gb2312" w:hAnsi="fang_song_gb2312" w:eastAsia="fang_song_gb2312" w:cs="fang_song_gb2312"/>
          <w:color w:val="0E00FE"/>
          <w:kern w:val="0"/>
          <w:sz w:val="27"/>
          <w:szCs w:val="27"/>
        </w:rPr>
        <w:t> </w:t>
      </w:r>
      <w:r>
        <w:rPr>
          <w:rFonts w:hint="eastAsia" w:ascii="Times New Roman" w:hAnsi="Times New Roman" w:eastAsia="仿宋_GB2312" w:cs="仿宋"/>
          <w:kern w:val="2"/>
          <w:sz w:val="32"/>
          <w:szCs w:val="32"/>
          <w:highlight w:val="none"/>
          <w:lang w:val="en-US" w:eastAsia="zh-CN" w:bidi="ar-SA"/>
        </w:rPr>
        <w:t xml:space="preserve"> </w:t>
      </w:r>
      <w:r>
        <w:rPr>
          <w:rFonts w:hint="eastAsia" w:eastAsia="仿宋_GB2312" w:cs="仿宋"/>
          <w:kern w:val="2"/>
          <w:sz w:val="32"/>
          <w:szCs w:val="32"/>
          <w:highlight w:val="none"/>
          <w:lang w:val="en-US" w:eastAsia="zh-CN" w:bidi="ar-SA"/>
        </w:rPr>
        <w:t xml:space="preserve"> </w:t>
      </w:r>
      <w:r>
        <w:rPr>
          <w:rFonts w:hint="eastAsia" w:ascii="Times New Roman" w:hAnsi="Times New Roman" w:eastAsia="仿宋_GB2312" w:cs="仿宋"/>
          <w:kern w:val="2"/>
          <w:sz w:val="32"/>
          <w:szCs w:val="32"/>
          <w:highlight w:val="none"/>
          <w:lang w:val="en-US" w:eastAsia="zh-CN" w:bidi="ar-SA"/>
        </w:rPr>
        <w:t> 赤峰市科学技术局（</w:t>
      </w:r>
      <w:r>
        <w:rPr>
          <w:rFonts w:hint="eastAsia" w:eastAsia="仿宋_GB2312" w:cs="仿宋"/>
          <w:kern w:val="2"/>
          <w:sz w:val="32"/>
          <w:szCs w:val="32"/>
          <w:highlight w:val="none"/>
          <w:lang w:val="en-US" w:eastAsia="zh-CN" w:bidi="ar-SA"/>
        </w:rPr>
        <w:t>部门</w:t>
      </w:r>
      <w:r>
        <w:rPr>
          <w:rFonts w:hint="eastAsia" w:ascii="Times New Roman" w:hAnsi="Times New Roman" w:eastAsia="仿宋_GB2312" w:cs="仿宋"/>
          <w:kern w:val="2"/>
          <w:sz w:val="32"/>
          <w:szCs w:val="32"/>
          <w:highlight w:val="none"/>
          <w:lang w:val="en-US" w:eastAsia="zh-CN" w:bidi="ar-SA"/>
        </w:rPr>
        <w:t>）单位2023年度政府性基金支出决算</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万元。与上年决算相比，增加</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万元，增长</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%，变动原因：本单位无政府性基金预算财政拨款收、支、余。</w:t>
      </w:r>
    </w:p>
    <w:p>
      <w:pPr>
        <w:widowControl/>
        <w:spacing w:before="240" w:after="240"/>
        <w:jc w:val="left"/>
        <w:rPr>
          <w:rFonts w:hint="eastAsia" w:eastAsia="黑体" w:cs="黑体"/>
          <w:b/>
          <w:bCs/>
          <w:sz w:val="32"/>
          <w:szCs w:val="36"/>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rPr>
        <w:t xml:space="preserve"> 十、国有资本经营预算财政拨款支出决算情况说明</w:t>
      </w:r>
    </w:p>
    <w:p>
      <w:pPr>
        <w:spacing w:beforeLines="0" w:afterLines="0" w:line="560" w:lineRule="exact"/>
        <w:ind w:firstLine="640"/>
        <w:jc w:val="both"/>
        <w:rPr>
          <w:rFonts w:ascii="Times New Roman" w:hAnsi="Times New Roman" w:eastAsia="Times New Roman" w:cs="Times New Roman"/>
          <w:kern w:val="0"/>
          <w:sz w:val="24"/>
        </w:rPr>
      </w:pPr>
      <w:r>
        <w:rPr>
          <w:rFonts w:hint="eastAsia" w:ascii="Times New Roman" w:hAnsi="Times New Roman" w:eastAsia="仿宋_GB2312" w:cs="仿宋"/>
          <w:kern w:val="2"/>
          <w:sz w:val="32"/>
          <w:szCs w:val="32"/>
          <w:highlight w:val="none"/>
          <w:lang w:val="en-US" w:eastAsia="zh-CN" w:bidi="ar-SA"/>
        </w:rPr>
        <w:t>赤峰市科学技术局（本级）单位2023年度国有资本经营预算支出决算</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万元。与上年决算相比，增加</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万元，增长</w:t>
      </w:r>
      <w:r>
        <w:rPr>
          <w:rFonts w:hint="default" w:ascii="Times New Roman" w:hAnsi="Times New Roman"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%，变动原因：本单位无国有资本经营预算财政拨款收、支、余。</w:t>
      </w:r>
    </w:p>
    <w:p>
      <w:pPr>
        <w:widowControl/>
        <w:spacing w:before="240" w:after="240"/>
        <w:rPr>
          <w:rFonts w:hint="eastAsia" w:eastAsia="黑体" w:cs="黑体"/>
          <w:b/>
          <w:bCs/>
          <w:sz w:val="32"/>
          <w:szCs w:val="36"/>
          <w:highlight w:val="none"/>
          <w:lang w:val="en-US" w:eastAsia="zh-CN"/>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hint="eastAsia" w:eastAsia="黑体" w:cs="黑体"/>
          <w:b/>
          <w:bCs/>
          <w:sz w:val="32"/>
          <w:szCs w:val="36"/>
          <w:highlight w:val="none"/>
          <w:lang w:val="en-US" w:eastAsia="zh-CN"/>
        </w:rPr>
        <w:t xml:space="preserve"> 十一、机构运行经费支出决算情况说明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Times New Roman" w:hAnsi="Times New Roman" w:eastAsia="仿宋_GB2312" w:cs="仿宋"/>
          <w:kern w:val="2"/>
          <w:sz w:val="32"/>
          <w:szCs w:val="32"/>
          <w:highlight w:val="none"/>
          <w:lang w:val="en-US" w:eastAsia="zh-CN" w:bidi="ar-SA"/>
        </w:rPr>
        <w:t xml:space="preserve"> 赤峰市科学技术局（部门） 2023年度机构运行经费支出决算 83.97万元。比上年决算相比，增加 42.81万元，增长 104.00%，变动原因：</w:t>
      </w:r>
      <w:r>
        <w:rPr>
          <w:rFonts w:hint="eastAsia" w:ascii="仿宋_GB2312" w:hAnsi="仿宋_GB2312" w:eastAsia="仿宋_GB2312"/>
          <w:color w:val="auto"/>
          <w:kern w:val="2"/>
          <w:sz w:val="32"/>
          <w:szCs w:val="24"/>
          <w:lang w:val="en-US" w:eastAsia="zh-CN"/>
        </w:rPr>
        <w:t>本年死亡抚恤增加</w:t>
      </w:r>
      <w:r>
        <w:rPr>
          <w:rFonts w:hint="eastAsia" w:ascii="Times New Roman" w:hAnsi="Times New Roman" w:eastAsia="仿宋_GB2312" w:cs="仿宋"/>
          <w:kern w:val="2"/>
          <w:sz w:val="32"/>
          <w:szCs w:val="32"/>
          <w:highlight w:val="none"/>
          <w:lang w:val="en-US" w:eastAsia="zh-CN" w:bidi="ar-SA"/>
        </w:rPr>
        <w:t>。</w:t>
      </w:r>
    </w:p>
    <w:p>
      <w:pPr>
        <w:widowControl/>
        <w:spacing w:before="240" w:after="240"/>
        <w:jc w:val="left"/>
        <w:rPr>
          <w:rFonts w:hint="eastAsia" w:eastAsia="黑体" w:cs="黑体"/>
          <w:b/>
          <w:bCs/>
          <w:sz w:val="32"/>
          <w:szCs w:val="36"/>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eastAsia="黑体" w:cs="黑体"/>
          <w:b/>
          <w:bCs/>
          <w:sz w:val="32"/>
          <w:szCs w:val="36"/>
          <w:highlight w:val="none"/>
        </w:rPr>
        <w:t>十二、政府采购支出决算情况说明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Times New Roman" w:hAnsi="Times New Roman" w:eastAsia="仿宋_GB2312" w:cs="仿宋"/>
          <w:kern w:val="2"/>
          <w:sz w:val="32"/>
          <w:szCs w:val="32"/>
          <w:highlight w:val="none"/>
          <w:lang w:val="en-US" w:eastAsia="zh-CN" w:bidi="ar-SA"/>
        </w:rPr>
        <w:t xml:space="preserve"> 赤峰市科学技术局（部门） 2023年度政府采购支出总额 26.08万元，其中：政府采购货物支出 3.76万元、政府采购工程支出 0.00万元、政府采购服务支出 22.32万元。政府采购授予中小企业合同金额 0.63万元，占政府采购支出总额的</w:t>
      </w:r>
      <w:r>
        <w:rPr>
          <w:rFonts w:hint="eastAsia" w:eastAsia="仿宋_GB2312" w:cs="仿宋"/>
          <w:kern w:val="2"/>
          <w:sz w:val="32"/>
          <w:szCs w:val="32"/>
          <w:highlight w:val="none"/>
          <w:lang w:val="en-US" w:eastAsia="zh-CN" w:bidi="ar-SA"/>
        </w:rPr>
        <w:t>2.41</w:t>
      </w:r>
      <w:r>
        <w:rPr>
          <w:rFonts w:hint="eastAsia" w:ascii="Times New Roman" w:hAnsi="Times New Roman" w:eastAsia="仿宋_GB2312" w:cs="仿宋"/>
          <w:kern w:val="2"/>
          <w:sz w:val="32"/>
          <w:szCs w:val="32"/>
          <w:highlight w:val="none"/>
          <w:lang w:val="en-US" w:eastAsia="zh-CN" w:bidi="ar-SA"/>
        </w:rPr>
        <w:t>%，其中：授予小微企业合同金额  0.41万元，占政府采购支出总额的</w:t>
      </w:r>
      <w:r>
        <w:rPr>
          <w:rFonts w:hint="eastAsia" w:eastAsia="仿宋_GB2312" w:cs="仿宋"/>
          <w:kern w:val="2"/>
          <w:sz w:val="32"/>
          <w:szCs w:val="32"/>
          <w:highlight w:val="none"/>
          <w:lang w:val="en-US" w:eastAsia="zh-CN" w:bidi="ar-SA"/>
        </w:rPr>
        <w:t>1.57</w:t>
      </w:r>
      <w:r>
        <w:rPr>
          <w:rFonts w:hint="eastAsia" w:ascii="Times New Roman" w:hAnsi="Times New Roman" w:eastAsia="仿宋_GB2312" w:cs="仿宋"/>
          <w:kern w:val="2"/>
          <w:sz w:val="32"/>
          <w:szCs w:val="32"/>
          <w:highlight w:val="none"/>
          <w:lang w:val="en-US" w:eastAsia="zh-CN" w:bidi="ar-SA"/>
        </w:rPr>
        <w:t>%；货物采购授予中小企业合同金额占货物支出金额的</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%，工程采购授予中小企业合同金额占工程支出金额的</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%，服务采购授予中小企业合同金额占服务支出金额的</w:t>
      </w:r>
      <w:r>
        <w:rPr>
          <w:rFonts w:hint="eastAsia" w:eastAsia="仿宋_GB2312" w:cs="仿宋"/>
          <w:kern w:val="2"/>
          <w:sz w:val="32"/>
          <w:szCs w:val="32"/>
          <w:highlight w:val="none"/>
          <w:lang w:val="en-US" w:eastAsia="zh-CN" w:bidi="ar-SA"/>
        </w:rPr>
        <w:t>0</w:t>
      </w:r>
      <w:r>
        <w:rPr>
          <w:rFonts w:hint="eastAsia" w:ascii="Times New Roman" w:hAnsi="Times New Roman" w:eastAsia="仿宋_GB2312" w:cs="仿宋"/>
          <w:kern w:val="2"/>
          <w:sz w:val="32"/>
          <w:szCs w:val="32"/>
          <w:highlight w:val="none"/>
          <w:lang w:val="en-US" w:eastAsia="zh-CN" w:bidi="ar-SA"/>
        </w:rPr>
        <w:t>%。</w:t>
      </w:r>
    </w:p>
    <w:p>
      <w:pPr>
        <w:widowControl/>
        <w:spacing w:before="240" w:after="240"/>
        <w:jc w:val="left"/>
        <w:rPr>
          <w:rFonts w:hint="eastAsia" w:eastAsia="黑体" w:cs="黑体"/>
          <w:b/>
          <w:bCs/>
          <w:sz w:val="32"/>
          <w:szCs w:val="36"/>
          <w:highlight w:val="none"/>
        </w:rPr>
      </w:pPr>
      <w:r>
        <w:rPr>
          <w:rFonts w:ascii="Calibri" w:hAnsi="Calibri" w:eastAsia="Calibri" w:cs="Calibri"/>
          <w:b/>
          <w:bCs/>
          <w:kern w:val="0"/>
          <w:sz w:val="27"/>
          <w:szCs w:val="27"/>
        </w:rPr>
        <w:t> </w:t>
      </w:r>
      <w:r>
        <w:rPr>
          <w:rFonts w:ascii="黑体" w:hAnsi="黑体" w:eastAsia="黑体" w:cs="黑体"/>
          <w:b/>
          <w:bCs/>
          <w:kern w:val="0"/>
          <w:sz w:val="27"/>
          <w:szCs w:val="27"/>
        </w:rPr>
        <w:t xml:space="preserve"> </w:t>
      </w:r>
      <w:r>
        <w:rPr>
          <w:rFonts w:hint="eastAsia" w:eastAsia="黑体" w:cs="黑体"/>
          <w:b/>
          <w:bCs/>
          <w:sz w:val="32"/>
          <w:szCs w:val="36"/>
          <w:highlight w:val="none"/>
        </w:rPr>
        <w:t>  十三、国有资产占用情况说明</w:t>
      </w:r>
    </w:p>
    <w:p>
      <w:pPr>
        <w:widowControl/>
        <w:spacing w:before="240" w:after="240"/>
        <w:rPr>
          <w:rFonts w:ascii="Times New Roman" w:hAnsi="Times New Roman" w:eastAsia="Times New Roman" w:cs="Times New Roman"/>
          <w:kern w:val="0"/>
          <w:sz w:val="24"/>
        </w:rPr>
      </w:pPr>
      <w:r>
        <w:rPr>
          <w:rFonts w:ascii="fang_song_gb2312" w:hAnsi="fang_song_gb2312" w:eastAsia="fang_song_gb2312" w:cs="fang_song_gb2312"/>
          <w:kern w:val="0"/>
          <w:sz w:val="27"/>
          <w:szCs w:val="27"/>
        </w:rPr>
        <w:t>   </w:t>
      </w:r>
      <w:r>
        <w:rPr>
          <w:rFonts w:hint="eastAsia" w:ascii="Times New Roman" w:hAnsi="Times New Roman" w:eastAsia="仿宋_GB2312" w:cs="仿宋"/>
          <w:kern w:val="2"/>
          <w:sz w:val="32"/>
          <w:szCs w:val="32"/>
          <w:highlight w:val="none"/>
          <w:lang w:val="en-US" w:eastAsia="zh-CN" w:bidi="ar-SA"/>
        </w:rPr>
        <w:t xml:space="preserve"> 赤峰市科学技术局（部门） 截至2023年12月31日，本部门（单位）共有车辆 0辆，其中：副部（省）级及以上领导用车0 辆、主要负责人用车 0辆、机要通信用车 0辆、应急保障用车 0辆、执法执勤用车 0辆、特种专业技术用车 0辆、离退休干部服务用车 0辆，其他用车 0辆；单价100万元（含）以上的设备（不含车辆） 0台（套）。</w:t>
      </w:r>
    </w:p>
    <w:p>
      <w:pPr>
        <w:spacing w:line="600" w:lineRule="exact"/>
        <w:ind w:left="0" w:leftChars="0" w:firstLine="643" w:firstLineChars="200"/>
        <w:outlineLvl w:val="2"/>
        <w:rPr>
          <w:rFonts w:hint="eastAsia" w:eastAsia="黑体" w:cs="黑体"/>
          <w:b/>
          <w:bCs/>
          <w:sz w:val="32"/>
          <w:szCs w:val="36"/>
          <w:highlight w:val="none"/>
        </w:rPr>
      </w:pPr>
      <w:r>
        <w:rPr>
          <w:rFonts w:hint="eastAsia" w:eastAsia="黑体" w:cs="黑体"/>
          <w:b/>
          <w:bCs/>
          <w:sz w:val="32"/>
          <w:szCs w:val="36"/>
          <w:highlight w:val="none"/>
        </w:rPr>
        <w:t>十四、预算绩效情况说明</w:t>
      </w:r>
    </w:p>
    <w:p>
      <w:pPr>
        <w:ind w:firstLine="643" w:firstLineChars="200"/>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（一）预算绩效管理工作开展情况。</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赤峰市科学技术局部门根据预算绩效管理要求组织对2023年项目支出开展绩效自评。其中一般公共预算项目10个，涉及资金3188.71万元，占一般公共预算项目支出总额的</w:t>
      </w:r>
      <w:r>
        <w:rPr>
          <w:rFonts w:hint="eastAsia" w:ascii="Times New Roman" w:hAnsi="Times New Roman" w:eastAsia="仿宋_GB2312" w:cs="仿宋"/>
          <w:kern w:val="2"/>
          <w:sz w:val="32"/>
          <w:szCs w:val="32"/>
          <w:highlight w:val="none"/>
          <w:lang w:val="en-US" w:eastAsia="en-US" w:bidi="ar-SA"/>
        </w:rPr>
        <w:t>100%</w:t>
      </w:r>
      <w:r>
        <w:rPr>
          <w:rFonts w:hint="eastAsia" w:ascii="Times New Roman" w:hAnsi="Times New Roman" w:eastAsia="仿宋_GB2312" w:cs="仿宋"/>
          <w:kern w:val="2"/>
          <w:sz w:val="32"/>
          <w:szCs w:val="32"/>
          <w:highlight w:val="none"/>
          <w:lang w:val="en-US" w:eastAsia="zh-CN" w:bidi="ar-SA"/>
        </w:rPr>
        <w:t>；政府性基金预算项目0个，涉及资金0万元，占应纳入绩效自评的政府性基金预算项目支出总额的</w:t>
      </w:r>
      <w:r>
        <w:rPr>
          <w:rFonts w:hint="eastAsia" w:ascii="Times New Roman" w:hAnsi="Times New Roman" w:eastAsia="仿宋_GB2312" w:cs="仿宋"/>
          <w:kern w:val="2"/>
          <w:sz w:val="32"/>
          <w:szCs w:val="32"/>
          <w:highlight w:val="none"/>
          <w:lang w:val="en-US" w:eastAsia="en-US" w:bidi="ar-SA"/>
        </w:rPr>
        <w:t>100%</w:t>
      </w:r>
      <w:r>
        <w:rPr>
          <w:rFonts w:hint="eastAsia" w:ascii="Times New Roman" w:hAnsi="Times New Roman" w:eastAsia="仿宋_GB2312" w:cs="仿宋"/>
          <w:kern w:val="2"/>
          <w:sz w:val="32"/>
          <w:szCs w:val="32"/>
          <w:highlight w:val="none"/>
          <w:lang w:val="en-US" w:eastAsia="zh-CN" w:bidi="ar-SA"/>
        </w:rPr>
        <w:t>；组织对“</w:t>
      </w:r>
      <w:r>
        <w:rPr>
          <w:rFonts w:hint="eastAsia" w:ascii="Times New Roman" w:hAnsi="Times New Roman" w:eastAsia="仿宋_GB2312" w:cs="仿宋"/>
          <w:kern w:val="2"/>
          <w:sz w:val="32"/>
          <w:szCs w:val="32"/>
          <w:highlight w:val="none"/>
          <w:lang w:val="en-US" w:eastAsia="en-US" w:bidi="ar-SA"/>
        </w:rPr>
        <w:t>2019年结转资金</w:t>
      </w:r>
      <w:r>
        <w:rPr>
          <w:rFonts w:hint="eastAsia" w:ascii="Times New Roman" w:hAnsi="Times New Roman" w:eastAsia="仿宋_GB2312" w:cs="仿宋"/>
          <w:kern w:val="2"/>
          <w:sz w:val="32"/>
          <w:szCs w:val="32"/>
          <w:highlight w:val="none"/>
          <w:lang w:val="en-US" w:eastAsia="zh-CN" w:bidi="ar-SA"/>
        </w:rPr>
        <w:t>”、“</w:t>
      </w:r>
      <w:r>
        <w:rPr>
          <w:rFonts w:hint="eastAsia" w:ascii="Times New Roman" w:hAnsi="Times New Roman" w:eastAsia="仿宋_GB2312" w:cs="仿宋"/>
          <w:kern w:val="2"/>
          <w:sz w:val="32"/>
          <w:szCs w:val="32"/>
          <w:highlight w:val="none"/>
          <w:lang w:val="en-US" w:eastAsia="en-US" w:bidi="ar-SA"/>
        </w:rPr>
        <w:t>2019年结转资金2</w:t>
      </w:r>
      <w:r>
        <w:rPr>
          <w:rFonts w:hint="eastAsia" w:ascii="Times New Roman" w:hAnsi="Times New Roman" w:eastAsia="仿宋_GB2312" w:cs="仿宋"/>
          <w:kern w:val="2"/>
          <w:sz w:val="32"/>
          <w:szCs w:val="32"/>
          <w:highlight w:val="none"/>
          <w:lang w:val="en-US" w:eastAsia="zh-CN" w:bidi="ar-SA"/>
        </w:rPr>
        <w:t>”、“</w:t>
      </w:r>
      <w:r>
        <w:rPr>
          <w:rFonts w:hint="eastAsia" w:ascii="Times New Roman" w:hAnsi="Times New Roman" w:eastAsia="仿宋_GB2312" w:cs="仿宋"/>
          <w:kern w:val="2"/>
          <w:sz w:val="32"/>
          <w:szCs w:val="32"/>
          <w:highlight w:val="none"/>
          <w:lang w:val="en-US" w:eastAsia="en-US" w:bidi="ar-SA"/>
        </w:rPr>
        <w:t>2020年第二批自治区科技成果转化专项资金</w:t>
      </w:r>
      <w:r>
        <w:rPr>
          <w:rFonts w:hint="eastAsia" w:ascii="Times New Roman" w:hAnsi="Times New Roman" w:eastAsia="仿宋_GB2312" w:cs="仿宋"/>
          <w:kern w:val="2"/>
          <w:sz w:val="32"/>
          <w:szCs w:val="32"/>
          <w:highlight w:val="none"/>
          <w:lang w:val="en-US" w:eastAsia="zh-CN" w:bidi="ar-SA"/>
        </w:rPr>
        <w:t>”等3个项目开展了部门评价，涉及一般公共预算支出39.95万元，政府性基金支出0万元。从评价情况看，以上项目均</w:t>
      </w:r>
      <w:r>
        <w:rPr>
          <w:rFonts w:hint="default" w:ascii="Times New Roman" w:hAnsi="Times New Roman" w:eastAsia="仿宋_GB2312" w:cs="仿宋"/>
          <w:kern w:val="2"/>
          <w:sz w:val="32"/>
          <w:szCs w:val="32"/>
          <w:highlight w:val="none"/>
          <w:lang w:val="en-US" w:eastAsia="zh-CN" w:bidi="ar-SA"/>
        </w:rPr>
        <w:t>实行科学有效的预算绩效评价,可以提升预算管理水平、增强项目单位资金支出责任、优化公共资源配置、节约公共支出成本,促进财政资金的合理配置和提高公共产品的服务质量。</w:t>
      </w:r>
    </w:p>
    <w:p>
      <w:pPr>
        <w:pStyle w:val="31"/>
        <w:widowControl/>
        <w:spacing w:before="240" w:after="240"/>
        <w:ind w:firstLine="643"/>
        <w:jc w:val="left"/>
        <w:rPr>
          <w:rFonts w:ascii="Times New Roman" w:hAnsi="Times New Roman" w:eastAsia="Times New Roman" w:cs="Times New Roman"/>
          <w:kern w:val="0"/>
          <w:sz w:val="24"/>
        </w:rPr>
      </w:pPr>
      <w:r>
        <w:rPr>
          <w:rFonts w:hint="eastAsia" w:ascii="楷体" w:hAnsi="楷体" w:eastAsia="楷体" w:cs="楷体"/>
          <w:b/>
          <w:bCs/>
          <w:kern w:val="2"/>
          <w:sz w:val="32"/>
          <w:szCs w:val="32"/>
          <w:highlight w:val="none"/>
          <w:lang w:val="en-US" w:eastAsia="zh-CN" w:bidi="ar-SA"/>
        </w:rPr>
        <w:t>（二）部门决算中项目绩效自评结果。</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赤峰市科学技术局部门2023年度在决算中反映“</w:t>
      </w:r>
      <w:r>
        <w:rPr>
          <w:rFonts w:hint="eastAsia" w:ascii="Times New Roman" w:hAnsi="Times New Roman" w:eastAsia="仿宋_GB2312" w:cs="仿宋"/>
          <w:kern w:val="2"/>
          <w:sz w:val="32"/>
          <w:szCs w:val="32"/>
          <w:highlight w:val="none"/>
          <w:lang w:val="en-US" w:eastAsia="en-US" w:bidi="ar-SA"/>
        </w:rPr>
        <w:t>2019年结转资金</w:t>
      </w:r>
      <w:r>
        <w:rPr>
          <w:rFonts w:hint="eastAsia" w:ascii="Times New Roman" w:hAnsi="Times New Roman" w:eastAsia="仿宋_GB2312" w:cs="仿宋"/>
          <w:kern w:val="2"/>
          <w:sz w:val="32"/>
          <w:szCs w:val="32"/>
          <w:highlight w:val="none"/>
          <w:lang w:val="en-US" w:eastAsia="zh-CN" w:bidi="ar-SA"/>
        </w:rPr>
        <w:t>”、“</w:t>
      </w:r>
      <w:r>
        <w:rPr>
          <w:rFonts w:hint="eastAsia" w:ascii="Times New Roman" w:hAnsi="Times New Roman" w:eastAsia="仿宋_GB2312" w:cs="仿宋"/>
          <w:kern w:val="2"/>
          <w:sz w:val="32"/>
          <w:szCs w:val="32"/>
          <w:highlight w:val="none"/>
          <w:lang w:val="en-US" w:eastAsia="en-US" w:bidi="ar-SA"/>
        </w:rPr>
        <w:t>2019年结转资金2</w:t>
      </w:r>
      <w:r>
        <w:rPr>
          <w:rFonts w:hint="eastAsia" w:ascii="Times New Roman" w:hAnsi="Times New Roman" w:eastAsia="仿宋_GB2312" w:cs="仿宋"/>
          <w:kern w:val="2"/>
          <w:sz w:val="32"/>
          <w:szCs w:val="32"/>
          <w:highlight w:val="none"/>
          <w:lang w:val="en-US" w:eastAsia="zh-CN" w:bidi="ar-SA"/>
        </w:rPr>
        <w:t>”、“</w:t>
      </w:r>
      <w:r>
        <w:rPr>
          <w:rFonts w:hint="eastAsia" w:ascii="Times New Roman" w:hAnsi="Times New Roman" w:eastAsia="仿宋_GB2312" w:cs="仿宋"/>
          <w:kern w:val="2"/>
          <w:sz w:val="32"/>
          <w:szCs w:val="32"/>
          <w:highlight w:val="none"/>
          <w:lang w:val="en-US" w:eastAsia="en-US" w:bidi="ar-SA"/>
        </w:rPr>
        <w:t>2020年第二批自治区科技成果转化专项资金</w:t>
      </w:r>
      <w:r>
        <w:rPr>
          <w:rFonts w:hint="eastAsia" w:ascii="Times New Roman" w:hAnsi="Times New Roman" w:eastAsia="仿宋_GB2312" w:cs="仿宋"/>
          <w:kern w:val="2"/>
          <w:sz w:val="32"/>
          <w:szCs w:val="32"/>
          <w:highlight w:val="none"/>
          <w:lang w:val="en-US" w:eastAsia="zh-CN" w:bidi="ar-SA"/>
        </w:rPr>
        <w:t>”、“2021年第三批自治区科技成果转化专项资金预算”、“2022年乡村振兴驻村人员补助经费”、“赤峰市科技特派员助力乡村振兴、”“赤峰市企业研究开发费用加计扣除项目鉴定及创新平台管理费用”、“科技创新服务工作经费”、“引进建设区域协同创新平台资金”、“自治区企业研发投入后补助（市本级配套）”等10个一般公共预算项目的绩效自评结果。所有项目自评表见附件。</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en-US" w:bidi="ar-SA"/>
        </w:rPr>
        <w:t>1.2019年结转资金</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项目自评综述：根据年初设定的绩效目标，项目自评得分99.17分。全年预算数为0.24万元，执行数为</w:t>
      </w:r>
      <w:r>
        <w:rPr>
          <w:rFonts w:hint="eastAsia" w:ascii="Times New Roman" w:hAnsi="Times New Roman" w:eastAsia="仿宋_GB2312" w:cs="仿宋"/>
          <w:kern w:val="2"/>
          <w:sz w:val="32"/>
          <w:szCs w:val="32"/>
          <w:highlight w:val="none"/>
          <w:lang w:val="en-US" w:eastAsia="en-US" w:bidi="ar-SA"/>
        </w:rPr>
        <w:t> </w:t>
      </w:r>
      <w:r>
        <w:rPr>
          <w:rFonts w:hint="eastAsia" w:ascii="Times New Roman" w:hAnsi="Times New Roman" w:eastAsia="仿宋_GB2312" w:cs="仿宋"/>
          <w:kern w:val="2"/>
          <w:sz w:val="32"/>
          <w:szCs w:val="32"/>
          <w:highlight w:val="none"/>
          <w:lang w:val="en-US" w:eastAsia="zh-CN" w:bidi="ar-SA"/>
        </w:rPr>
        <w:t>0.22万元，完成预算的91.67</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。项目绩效目标完成情况：开展科技实用技术培训次数2次，服务农牧民66人次，促进宁城县发展种养循环产业转型升级。发现的主要问题及原因：资金使用效率较低。下一步改进措施：提高资金使用效率。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2</w:t>
      </w:r>
      <w:r>
        <w:rPr>
          <w:rFonts w:hint="eastAsia" w:ascii="Times New Roman" w:hAnsi="Times New Roman" w:eastAsia="仿宋_GB2312" w:cs="仿宋"/>
          <w:kern w:val="2"/>
          <w:sz w:val="32"/>
          <w:szCs w:val="32"/>
          <w:highlight w:val="none"/>
          <w:lang w:val="en-US" w:eastAsia="en-US" w:bidi="ar-SA"/>
        </w:rPr>
        <w:t>.2019年结转资金2</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项目自评综述：根据年初设定的绩效目标，项目自评得分96.71分。全年预算数为0.76万元，执行数为0.51万元，完成预算的67.11</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此项资金与2019年结转资金实际为同一笔资金，合并统筹，完成设置绩效目标，开展科技实用技术培训次数2次，服务农牧民66人次，促进宁城县发展种养循环产业转型升级。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3</w:t>
      </w:r>
      <w:r>
        <w:rPr>
          <w:rFonts w:hint="eastAsia" w:ascii="Times New Roman" w:hAnsi="Times New Roman" w:eastAsia="仿宋_GB2312" w:cs="仿宋"/>
          <w:kern w:val="2"/>
          <w:sz w:val="32"/>
          <w:szCs w:val="32"/>
          <w:highlight w:val="none"/>
          <w:lang w:val="en-US" w:eastAsia="en-US" w:bidi="ar-SA"/>
        </w:rPr>
        <w:t>.2020年第二批自治区科技成果转化专项资金</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项目自评综述：根据年初设定的绩效目标，项目自评得分96.15分。全年预算数为38.95万元，执行数为23.97万元，完成预算的61.54</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。项目绩效目标完成情况：开展科技服务5次以上，印制政策汇编2000套。发现的主要问题及原因：资金使用效率较低。下一步改进措施：提高资金使用效率。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4</w:t>
      </w:r>
      <w:r>
        <w:rPr>
          <w:rFonts w:hint="eastAsia" w:ascii="Times New Roman" w:hAnsi="Times New Roman" w:eastAsia="仿宋_GB2312" w:cs="仿宋"/>
          <w:kern w:val="2"/>
          <w:sz w:val="32"/>
          <w:szCs w:val="32"/>
          <w:highlight w:val="none"/>
          <w:lang w:val="en-US" w:eastAsia="en-US" w:bidi="ar-SA"/>
        </w:rPr>
        <w:t>.2021年第三批自治区科技成果转化专项资金预算</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项目自评综述：根据年初设定的绩效目标，项目自评得分95.93分。全年预算数为10.84万元，执行数为6.43万元，完成预算的59.32</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。项目绩效目标完成情况：开展培训活动3次以上，推广新品种3种。发现的主要问题及原因：资金使用效率较低。下一步改进措施：提高资金使用效率。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5</w:t>
      </w:r>
      <w:r>
        <w:rPr>
          <w:rFonts w:hint="eastAsia" w:ascii="Times New Roman" w:hAnsi="Times New Roman" w:eastAsia="仿宋_GB2312" w:cs="仿宋"/>
          <w:kern w:val="2"/>
          <w:sz w:val="32"/>
          <w:szCs w:val="32"/>
          <w:highlight w:val="none"/>
          <w:lang w:val="en-US" w:eastAsia="en-US" w:bidi="ar-SA"/>
        </w:rPr>
        <w:t>.2022年乡村振兴驻村人员补助经费</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项目自评综述：根据年初设定的绩效目标，项目自评得分98分。全年预算数为1.92万元，执行数为1.92万元，完成预算的100</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。项目绩效目标完成情况：乡村振兴驻村人员1人，乡村振兴驻村时长1年。发现的主要问题及原因：资金使用效率较低。下一步改进措施：提高资金使用效率。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6</w:t>
      </w:r>
      <w:r>
        <w:rPr>
          <w:rFonts w:hint="eastAsia" w:ascii="Times New Roman" w:hAnsi="Times New Roman" w:eastAsia="仿宋_GB2312" w:cs="仿宋"/>
          <w:kern w:val="2"/>
          <w:sz w:val="32"/>
          <w:szCs w:val="32"/>
          <w:highlight w:val="none"/>
          <w:lang w:val="en-US" w:eastAsia="en-US" w:bidi="ar-SA"/>
        </w:rPr>
        <w:t>.赤峰市科技特派员助力乡村振兴</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项目自评综述：根据年初设定的绩效目标，项目自评得分96.21分。全年预算数为20万元，执行数为19.52万元，完成预算的97.60</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。项目绩效目标完成情况：实施科技特派员助力乡村振兴项目4个，举办科技人才素养能力提升培训活动2期。发现的主要问题及原因：资金使用效率较低。下一步改进措施：提高资金使用效率。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7</w:t>
      </w:r>
      <w:r>
        <w:rPr>
          <w:rFonts w:hint="eastAsia" w:ascii="Times New Roman" w:hAnsi="Times New Roman" w:eastAsia="仿宋_GB2312" w:cs="仿宋"/>
          <w:kern w:val="2"/>
          <w:sz w:val="32"/>
          <w:szCs w:val="32"/>
          <w:highlight w:val="none"/>
          <w:lang w:val="en-US" w:eastAsia="en-US" w:bidi="ar-SA"/>
        </w:rPr>
        <w:t>.赤峰市企业研究开发费用加计扣除项目鉴定及创新平台管理费用</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项目自评综述：根据年初设定的绩效目标，项目自评得分86.97分。全年预算数为11万元，执行数为7.67万元，完成预算的69.73</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举办研发费用加计扣除和研发投入后补助相关政策培训会1次，进行研发费用加计扣除项目鉴定1次，举办评审会评审市级企业技术创新中心、科普示范基地、重点实验室等。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8</w:t>
      </w:r>
      <w:r>
        <w:rPr>
          <w:rFonts w:hint="eastAsia" w:ascii="Times New Roman" w:hAnsi="Times New Roman" w:eastAsia="仿宋_GB2312" w:cs="仿宋"/>
          <w:kern w:val="2"/>
          <w:sz w:val="32"/>
          <w:szCs w:val="32"/>
          <w:highlight w:val="none"/>
          <w:lang w:val="en-US" w:eastAsia="en-US" w:bidi="ar-SA"/>
        </w:rPr>
        <w:t>.科技创新服务工作经费</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项目自评综述：根据年初设定的绩效目标，项目自评得分92.72分。全年预算数为5万元，执行数为1.36万元，完成预算的27.20</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2023年开展科技项目立项评审会议、科技项目验收会议、科普基地建设征集和评审业务，举办会议2次，对征集的科技项目进行立项评审，聘请专家进行项目立项评估、科普基地建设征集和评审，并开展实地考察调研，提高科技创新服务水平。发现的主要问题及原因：资金使用效率较低。下一步改进措施：提高资金使用效率。</w:t>
      </w:r>
    </w:p>
    <w:p>
      <w:pPr>
        <w:pStyle w:val="32"/>
        <w:widowControl/>
        <w:spacing w:before="240" w:after="0" w:line="560" w:lineRule="atLeast"/>
        <w:ind w:firstLine="640"/>
        <w:jc w:val="left"/>
        <w:rPr>
          <w:rFonts w:hint="eastAsia" w:ascii="Times New Roman" w:hAnsi="Times New Roman" w:eastAsia="仿宋_GB2312" w:cs="仿宋"/>
          <w:kern w:val="2"/>
          <w:sz w:val="32"/>
          <w:szCs w:val="32"/>
          <w:highlight w:val="none"/>
          <w:lang w:val="en-US" w:eastAsia="zh-CN" w:bidi="ar-SA"/>
        </w:rPr>
      </w:pPr>
      <w:r>
        <w:rPr>
          <w:rFonts w:hint="eastAsia" w:ascii="Times New Roman" w:hAnsi="Times New Roman" w:eastAsia="仿宋_GB2312" w:cs="仿宋"/>
          <w:kern w:val="2"/>
          <w:sz w:val="32"/>
          <w:szCs w:val="32"/>
          <w:highlight w:val="none"/>
          <w:lang w:val="en-US" w:eastAsia="zh-CN" w:bidi="ar-SA"/>
        </w:rPr>
        <w:t>9</w:t>
      </w:r>
      <w:r>
        <w:rPr>
          <w:rFonts w:hint="eastAsia" w:ascii="Times New Roman" w:hAnsi="Times New Roman" w:eastAsia="仿宋_GB2312" w:cs="仿宋"/>
          <w:kern w:val="2"/>
          <w:sz w:val="32"/>
          <w:szCs w:val="32"/>
          <w:highlight w:val="none"/>
          <w:lang w:val="en-US" w:eastAsia="en-US" w:bidi="ar-SA"/>
        </w:rPr>
        <w:t>.引进建设区域协同创新平台资金</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项目自评综述：根据年初设定的绩效目标，项目自评得分83.31分。全年预算数为3000万元，执行数为60万元，完成预算的2</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2023年，两个平台开展走进中国科学院成果对接发布暨院士大讲堂、富勒烯产业创新大会、概念验证大赛等大型活动11场，活动共邀请6名院士、120余名专家教授来赤对接交流科技合作，累计引进发布科技成果50项，促成科技成果成功签约合作22项。开展走访对接活动98次，走访企业110余家，征集科技合作需求190项，解决企业技术难题70余项。发现的主要问题及原因：资金使用效率较低。下一步改进措施：提高资金使用效率。</w:t>
      </w:r>
    </w:p>
    <w:p>
      <w:pPr>
        <w:pStyle w:val="32"/>
        <w:widowControl/>
        <w:spacing w:before="240" w:after="0" w:line="560" w:lineRule="atLeast"/>
        <w:ind w:firstLine="640"/>
        <w:jc w:val="left"/>
        <w:rPr>
          <w:rFonts w:ascii="仿宋_GB2312" w:hAnsi="仿宋_GB2312" w:eastAsia="仿宋_GB2312" w:cs="仿宋_GB2312"/>
          <w:kern w:val="0"/>
          <w:sz w:val="32"/>
          <w:szCs w:val="32"/>
        </w:rPr>
      </w:pPr>
      <w:r>
        <w:rPr>
          <w:rFonts w:hint="eastAsia" w:ascii="Times New Roman" w:hAnsi="Times New Roman" w:eastAsia="仿宋_GB2312" w:cs="仿宋"/>
          <w:kern w:val="2"/>
          <w:sz w:val="32"/>
          <w:szCs w:val="32"/>
          <w:highlight w:val="none"/>
          <w:lang w:val="en-US" w:eastAsia="zh-CN" w:bidi="ar-SA"/>
        </w:rPr>
        <w:t>10</w:t>
      </w:r>
      <w:r>
        <w:rPr>
          <w:rFonts w:hint="eastAsia" w:ascii="Times New Roman" w:hAnsi="Times New Roman" w:eastAsia="仿宋_GB2312" w:cs="仿宋"/>
          <w:kern w:val="2"/>
          <w:sz w:val="32"/>
          <w:szCs w:val="32"/>
          <w:highlight w:val="none"/>
          <w:lang w:val="en-US" w:eastAsia="en-US" w:bidi="ar-SA"/>
        </w:rPr>
        <w:t>.自治区企业研发投入后补助（市本级配套）</w:t>
      </w:r>
      <w:r>
        <w:rPr>
          <w:rFonts w:hint="eastAsia" w:ascii="Times New Roman" w:hAnsi="Times New Roman" w:eastAsia="仿宋_GB2312" w:cs="仿宋"/>
          <w:kern w:val="2"/>
          <w:sz w:val="32"/>
          <w:szCs w:val="32"/>
          <w:highlight w:val="none"/>
          <w:lang w:val="en-US" w:eastAsia="zh-CN" w:bidi="ar-SA"/>
        </w:rPr>
        <w:t>项目自评综述：根据年初设定的绩效目标，项目自评得分0分。全年预算数为100万元，执行数为0万元，完成预算的0</w:t>
      </w:r>
      <w:r>
        <w:rPr>
          <w:rFonts w:hint="eastAsia" w:ascii="Times New Roman" w:hAnsi="Times New Roman" w:eastAsia="仿宋_GB2312" w:cs="仿宋"/>
          <w:kern w:val="2"/>
          <w:sz w:val="32"/>
          <w:szCs w:val="32"/>
          <w:highlight w:val="none"/>
          <w:lang w:val="en-US" w:eastAsia="en-US" w:bidi="ar-SA"/>
        </w:rPr>
        <w:t>%</w:t>
      </w:r>
      <w:r>
        <w:rPr>
          <w:rFonts w:hint="eastAsia" w:ascii="Times New Roman" w:hAnsi="Times New Roman" w:eastAsia="仿宋_GB2312" w:cs="仿宋"/>
          <w:kern w:val="2"/>
          <w:sz w:val="32"/>
          <w:szCs w:val="32"/>
          <w:highlight w:val="none"/>
          <w:lang w:val="en-US" w:eastAsia="zh-CN" w:bidi="ar-SA"/>
        </w:rPr>
        <w:t>。项目绩效目标完成情况：按照《内蒙古自治区人民政府办公厅关于印发医疗卫生领域、科技领域、教育领域自治区与盟市财政事权和支出责任划分改革方案的通知》要求，自治区企业研发投入后补助由自治区财政、市财政按照8:2分别承担。我局根据测算将赤峰市应承担部分资金列入预算，但2023年自治区科技厅未下达企业研发投入后补助资金项目，故此资金未支出。发现的主要问题及原因：资金使用效率较低。下一步改进措施：提高资金使用效率。</w:t>
      </w:r>
    </w:p>
    <w:p>
      <w:pPr>
        <w:ind w:firstLine="643" w:firstLineChars="200"/>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（三）部门项目绩效评价结果。</w:t>
      </w:r>
    </w:p>
    <w:p>
      <w:pPr>
        <w:pStyle w:val="32"/>
        <w:widowControl/>
        <w:spacing w:before="240" w:after="0" w:line="560" w:lineRule="atLeast"/>
        <w:ind w:firstLine="640"/>
        <w:jc w:val="left"/>
        <w:rPr>
          <w:rFonts w:ascii="Times New Roman" w:hAnsi="Times New Roman" w:eastAsia="Times New Roman" w:cs="Times New Roman"/>
          <w:kern w:val="0"/>
          <w:sz w:val="24"/>
        </w:rPr>
      </w:pPr>
      <w:r>
        <w:rPr>
          <w:rFonts w:hint="eastAsia" w:ascii="Times New Roman" w:hAnsi="Times New Roman" w:eastAsia="仿宋_GB2312" w:cs="仿宋"/>
          <w:kern w:val="2"/>
          <w:sz w:val="32"/>
          <w:szCs w:val="32"/>
          <w:highlight w:val="none"/>
          <w:lang w:val="en-US" w:eastAsia="zh-CN" w:bidi="ar-SA"/>
        </w:rPr>
        <w:t>以</w:t>
      </w:r>
      <w:r>
        <w:rPr>
          <w:rFonts w:hint="eastAsia" w:ascii="Times New Roman" w:hAnsi="Times New Roman" w:eastAsia="仿宋_GB2312" w:cs="仿宋"/>
          <w:kern w:val="2"/>
          <w:sz w:val="32"/>
          <w:szCs w:val="32"/>
          <w:highlight w:val="none"/>
          <w:lang w:val="en-US" w:eastAsia="en-US" w:bidi="ar-SA"/>
        </w:rPr>
        <w:t>2019年结转资金</w:t>
      </w:r>
      <w:r>
        <w:rPr>
          <w:rFonts w:hint="eastAsia" w:ascii="Times New Roman" w:hAnsi="Times New Roman" w:eastAsia="仿宋_GB2312" w:cs="仿宋"/>
          <w:kern w:val="2"/>
          <w:sz w:val="32"/>
          <w:szCs w:val="32"/>
          <w:highlight w:val="none"/>
          <w:lang w:val="en-US" w:eastAsia="zh-CN" w:bidi="ar-SA"/>
        </w:rPr>
        <w:t>项目为例，该项目绩效评价综合得分为99.17分，绩效评价结果为“优”。</w:t>
      </w:r>
      <w:r>
        <w:rPr>
          <w:rFonts w:hint="eastAsia" w:ascii="Times New Roman" w:hAnsi="Times New Roman" w:eastAsia="仿宋_GB2312" w:cs="仿宋"/>
          <w:kern w:val="2"/>
          <w:sz w:val="32"/>
          <w:szCs w:val="32"/>
          <w:highlight w:val="none"/>
          <w:lang w:val="en-US" w:eastAsia="en-US" w:bidi="ar-SA"/>
        </w:rPr>
        <w:t>2019年结转资金</w:t>
      </w:r>
      <w:r>
        <w:rPr>
          <w:rFonts w:hint="eastAsia" w:ascii="Times New Roman" w:hAnsi="Times New Roman" w:eastAsia="仿宋_GB2312" w:cs="仿宋"/>
          <w:kern w:val="2"/>
          <w:sz w:val="32"/>
          <w:szCs w:val="32"/>
          <w:highlight w:val="none"/>
          <w:lang w:val="en-US" w:eastAsia="zh-CN" w:bidi="ar-SA"/>
        </w:rPr>
        <w:t>项目部门评价报告见附件。</w:t>
      </w:r>
    </w:p>
    <w:p>
      <w:pPr>
        <w:pStyle w:val="4"/>
        <w:tabs>
          <w:tab w:val="left" w:pos="4392"/>
        </w:tabs>
        <w:adjustRightInd/>
        <w:snapToGrid/>
        <w:spacing w:before="0" w:after="0" w:line="360" w:lineRule="auto"/>
        <w:ind w:firstLine="0" w:firstLineChars="0"/>
        <w:jc w:val="center"/>
        <w:rPr>
          <w:rFonts w:hint="eastAsia"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第三部分  名词解释</w:t>
      </w:r>
    </w:p>
    <w:p>
      <w:pPr>
        <w:pStyle w:val="8"/>
        <w:spacing w:after="0" w:line="560" w:lineRule="exact"/>
        <w:ind w:firstLine="540" w:firstLineChars="200"/>
        <w:rPr>
          <w:rFonts w:hint="eastAsia" w:ascii="Times New Roman" w:hAnsi="Times New Roman" w:eastAsia="仿宋_GB2312" w:cs="仿宋"/>
          <w:sz w:val="32"/>
          <w:szCs w:val="32"/>
          <w:highlight w:val="none"/>
        </w:rPr>
      </w:pPr>
      <w:r>
        <w:rPr>
          <w:rFonts w:ascii="fang_song_gb2312" w:hAnsi="fang_song_gb2312" w:eastAsia="fang_song_gb2312" w:cs="fang_song_gb2312"/>
          <w:b/>
          <w:bCs/>
          <w:kern w:val="0"/>
          <w:sz w:val="27"/>
          <w:szCs w:val="27"/>
        </w:rPr>
        <w:t>   </w:t>
      </w:r>
      <w:r>
        <w:rPr>
          <w:rFonts w:hint="eastAsia" w:ascii="Times New Roman" w:hAnsi="Times New Roman" w:eastAsia="仿宋_GB2312" w:cs="仿宋"/>
          <w:b/>
          <w:bCs/>
          <w:sz w:val="32"/>
          <w:szCs w:val="32"/>
          <w:highlight w:val="none"/>
        </w:rPr>
        <w:t xml:space="preserve"> 一、财政拨款收入：</w:t>
      </w:r>
      <w:r>
        <w:rPr>
          <w:rFonts w:hint="eastAsia" w:ascii="Times New Roman" w:hAnsi="Times New Roman" w:eastAsia="仿宋_GB2312" w:cs="仿宋"/>
          <w:sz w:val="32"/>
          <w:szCs w:val="32"/>
          <w:highlight w:val="none"/>
        </w:rPr>
        <w:t>从同级财政部门取得的各类财政拨款，包括一般公共预算财政拨款、政府性基金预算财政拨款、国有资本经营预算财政拨款。</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二、上级补助收入：</w:t>
      </w:r>
      <w:r>
        <w:rPr>
          <w:rFonts w:hint="eastAsia" w:ascii="Times New Roman" w:hAnsi="Times New Roman" w:eastAsia="仿宋_GB2312" w:cs="仿宋"/>
          <w:sz w:val="32"/>
          <w:szCs w:val="32"/>
          <w:highlight w:val="none"/>
        </w:rPr>
        <w:t>指事业单位从主管部门和上级单位取得的非财政补助收入。</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三、财政专户管理教育收费：</w:t>
      </w:r>
      <w:r>
        <w:rPr>
          <w:rFonts w:hint="eastAsia" w:ascii="Times New Roman" w:hAnsi="Times New Roman" w:eastAsia="仿宋_GB2312" w:cs="仿宋"/>
          <w:sz w:val="32"/>
          <w:szCs w:val="32"/>
          <w:highlight w:val="none"/>
        </w:rPr>
        <w:t>指缴入财政专户、实行专项管理的高中以上学费、住宿费、高校委托培养费、函大、电大、夜大及短训班培训费等教育收费。</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四、事业收入：</w:t>
      </w:r>
      <w:r>
        <w:rPr>
          <w:rFonts w:hint="eastAsia" w:ascii="Times New Roman" w:hAnsi="Times New Roman" w:eastAsia="仿宋_GB2312" w:cs="仿宋"/>
          <w:sz w:val="32"/>
          <w:szCs w:val="32"/>
          <w:highlight w:val="none"/>
        </w:rPr>
        <w:t>指事业单位开展专业业务活动及其辅助活动取得的收入。</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五、经营收入：</w:t>
      </w:r>
      <w:r>
        <w:rPr>
          <w:rFonts w:hint="eastAsia" w:ascii="Times New Roman" w:hAnsi="Times New Roman" w:eastAsia="仿宋_GB2312" w:cs="仿宋"/>
          <w:sz w:val="32"/>
          <w:szCs w:val="32"/>
          <w:highlight w:val="none"/>
        </w:rPr>
        <w:t>指事业单位在专业业务活动及其辅助活动之外开展非独立核算经营活动取得的收入。</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六、附属单位上缴收入：</w:t>
      </w:r>
      <w:r>
        <w:rPr>
          <w:rFonts w:hint="eastAsia" w:ascii="Times New Roman" w:hAnsi="Times New Roman" w:eastAsia="仿宋_GB2312" w:cs="仿宋"/>
          <w:sz w:val="32"/>
          <w:szCs w:val="32"/>
          <w:highlight w:val="none"/>
        </w:rPr>
        <w:t>指事业单位取得附属独立核算单位按照有关规定上缴的收入。</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七、其他收入：</w:t>
      </w:r>
      <w:r>
        <w:rPr>
          <w:rFonts w:hint="eastAsia" w:ascii="Times New Roman" w:hAnsi="Times New Roman" w:eastAsia="仿宋_GB2312" w:cs="仿宋"/>
          <w:sz w:val="32"/>
          <w:szCs w:val="32"/>
          <w:highlight w:val="none"/>
        </w:rPr>
        <w:t>取得的除上述“财政拨款收入”、“上级补助收入”、“事业收入”、“经营收入”、“附属单位上缴收入”等以外的各项收入。</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八、使用非财政拨款结余和专用结余：</w:t>
      </w:r>
      <w:r>
        <w:rPr>
          <w:rFonts w:hint="eastAsia" w:ascii="Times New Roman" w:hAnsi="Times New Roman" w:eastAsia="仿宋_GB2312" w:cs="仿宋"/>
          <w:sz w:val="32"/>
          <w:szCs w:val="32"/>
          <w:highlight w:val="none"/>
        </w:rPr>
        <w:t>指事业单位按照预算管理要求使用非财政拨款结余和专用结余弥补当年收支差额的数额。</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九、年初结转和结余：</w:t>
      </w:r>
      <w:r>
        <w:rPr>
          <w:rFonts w:hint="eastAsia" w:ascii="Times New Roman" w:hAnsi="Times New Roman" w:eastAsia="仿宋_GB2312" w:cs="仿宋"/>
          <w:sz w:val="32"/>
          <w:szCs w:val="32"/>
          <w:highlight w:val="none"/>
        </w:rPr>
        <w:t>指单位上年结转本年使用的基本支出结转、项目支出结转和结余、经营结余。</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十、结余分配：</w:t>
      </w:r>
      <w:r>
        <w:rPr>
          <w:rFonts w:hint="eastAsia" w:ascii="Times New Roman" w:hAnsi="Times New Roman" w:eastAsia="仿宋_GB2312" w:cs="仿宋"/>
          <w:sz w:val="32"/>
          <w:szCs w:val="32"/>
          <w:highlight w:val="none"/>
        </w:rPr>
        <w:t>指事业单位按规定缴纳企业所得税以及从非财政拨款结余或经营结余中提取各类结余的情况。</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十一、年末结转和结余资金：</w:t>
      </w:r>
      <w:r>
        <w:rPr>
          <w:rFonts w:hint="eastAsia" w:ascii="Times New Roman" w:hAnsi="Times New Roman" w:eastAsia="仿宋_GB2312" w:cs="仿宋"/>
          <w:sz w:val="32"/>
          <w:szCs w:val="32"/>
          <w:highlight w:val="none"/>
        </w:rPr>
        <w:t>指单位结转下年的基本支出结转、项目支出结转和结余、经营结余。</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十二、基本支出：</w:t>
      </w:r>
      <w:r>
        <w:rPr>
          <w:rFonts w:hint="eastAsia" w:ascii="Times New Roman" w:hAnsi="Times New Roman" w:eastAsia="仿宋_GB2312" w:cs="仿宋"/>
          <w:sz w:val="32"/>
          <w:szCs w:val="32"/>
          <w:highlight w:val="none"/>
        </w:rPr>
        <w:t>指为保障机构正常运转、完成日常工作任务所发生的支出，包括人员经费和公用经费。</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十三、项目支出：</w:t>
      </w:r>
      <w:r>
        <w:rPr>
          <w:rFonts w:hint="eastAsia" w:ascii="Times New Roman" w:hAnsi="Times New Roman" w:eastAsia="仿宋_GB2312" w:cs="仿宋"/>
          <w:sz w:val="32"/>
          <w:szCs w:val="32"/>
          <w:highlight w:val="none"/>
        </w:rPr>
        <w:t>指在为完成特定的工作任务和事业发展目标所发生的支出。</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十四、上缴上级支出：</w:t>
      </w:r>
      <w:r>
        <w:rPr>
          <w:rFonts w:hint="eastAsia" w:ascii="Times New Roman" w:hAnsi="Times New Roman" w:eastAsia="仿宋_GB2312" w:cs="仿宋"/>
          <w:sz w:val="32"/>
          <w:szCs w:val="32"/>
          <w:highlight w:val="none"/>
        </w:rPr>
        <w:t>指事业单位按照财政部门和主管部门的规定上缴上级单位的支出。</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十五、经营支出：</w:t>
      </w:r>
      <w:r>
        <w:rPr>
          <w:rFonts w:hint="eastAsia" w:ascii="Times New Roman" w:hAnsi="Times New Roman" w:eastAsia="仿宋_GB2312" w:cs="仿宋"/>
          <w:sz w:val="32"/>
          <w:szCs w:val="32"/>
          <w:highlight w:val="none"/>
        </w:rPr>
        <w:t>指事业单位在专业业务活动及其辅助活动之外开展非独立核算经营活动发生的支出。</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十六、对附属单位补助支出：</w:t>
      </w:r>
      <w:r>
        <w:rPr>
          <w:rFonts w:hint="eastAsia" w:ascii="Times New Roman" w:hAnsi="Times New Roman" w:eastAsia="仿宋_GB2312" w:cs="仿宋"/>
          <w:sz w:val="32"/>
          <w:szCs w:val="32"/>
          <w:highlight w:val="none"/>
        </w:rPr>
        <w:t>指事业单位用财政拨款收入之外的收入对附属单位补助发生的支出。</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十七、“三公”经费：</w:t>
      </w:r>
      <w:r>
        <w:rPr>
          <w:rFonts w:hint="eastAsia" w:ascii="Times New Roman" w:hAnsi="Times New Roman" w:eastAsia="仿宋_GB2312" w:cs="仿宋"/>
          <w:sz w:val="32"/>
          <w:szCs w:val="32"/>
          <w:highlight w:val="none"/>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pPr>
        <w:pStyle w:val="8"/>
        <w:spacing w:after="0" w:line="56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    十八、机构运行经费：</w:t>
      </w:r>
      <w:r>
        <w:rPr>
          <w:rFonts w:hint="eastAsia" w:ascii="Times New Roman" w:hAnsi="Times New Roman" w:eastAsia="仿宋_GB2312" w:cs="仿宋"/>
          <w:sz w:val="32"/>
          <w:szCs w:val="32"/>
          <w:highlight w:val="none"/>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widowControl/>
        <w:spacing w:before="240" w:after="240"/>
        <w:jc w:val="left"/>
        <w:rPr>
          <w:rFonts w:ascii="Times New Roman" w:hAnsi="Times New Roman" w:eastAsia="Times New Roman" w:cs="Times New Roman"/>
          <w:kern w:val="0"/>
          <w:sz w:val="24"/>
        </w:rPr>
      </w:pPr>
    </w:p>
    <w:p>
      <w:pPr>
        <w:pStyle w:val="4"/>
        <w:tabs>
          <w:tab w:val="left" w:pos="4392"/>
        </w:tabs>
        <w:adjustRightInd/>
        <w:snapToGrid/>
        <w:spacing w:before="0" w:after="0" w:line="360" w:lineRule="auto"/>
        <w:ind w:firstLine="0" w:firstLineChars="0"/>
        <w:jc w:val="center"/>
        <w:rPr>
          <w:rFonts w:hint="eastAsia"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第四部分 决算公开联系方式及信息反馈渠道</w:t>
      </w:r>
    </w:p>
    <w:p>
      <w:pPr>
        <w:widowControl/>
        <w:spacing w:before="240" w:after="240"/>
        <w:jc w:val="left"/>
        <w:rPr>
          <w:rFonts w:ascii="Times New Roman" w:hAnsi="Times New Roman" w:eastAsia="Times New Roman" w:cs="Times New Roman"/>
          <w:kern w:val="0"/>
          <w:sz w:val="24"/>
        </w:rPr>
      </w:pPr>
    </w:p>
    <w:p>
      <w:pPr>
        <w:snapToGrid w:val="0"/>
        <w:spacing w:line="600" w:lineRule="exact"/>
        <w:ind w:firstLine="540" w:firstLineChars="200"/>
        <w:rPr>
          <w:rFonts w:hint="eastAsia" w:ascii="仿宋_GB2312" w:hAnsi="仿宋_GB2312" w:eastAsia="仿宋_GB2312" w:cs="仿宋_GB2312"/>
          <w:sz w:val="32"/>
          <w:szCs w:val="32"/>
          <w:highlight w:val="none"/>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sz w:val="32"/>
          <w:szCs w:val="32"/>
          <w:highlight w:val="none"/>
        </w:rPr>
        <w:t xml:space="preserve"> 本单位决算公开信息反馈和联系方式：</w:t>
      </w:r>
    </w:p>
    <w:p>
      <w:pPr>
        <w:snapToGrid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联系人：郑振兴           联系电话：0476-8334662</w:t>
      </w:r>
    </w:p>
    <w:p>
      <w:pPr>
        <w:widowControl/>
        <w:spacing w:before="240" w:after="240"/>
        <w:jc w:val="left"/>
        <w:rPr>
          <w:rFonts w:ascii="Times New Roman" w:hAnsi="Times New Roman" w:eastAsia="Times New Roman" w:cs="Times New Roman"/>
          <w:kern w:val="0"/>
          <w:sz w:val="24"/>
        </w:rPr>
      </w:pPr>
    </w:p>
    <w:p>
      <w:pPr>
        <w:pStyle w:val="4"/>
        <w:tabs>
          <w:tab w:val="left" w:pos="4392"/>
        </w:tabs>
        <w:adjustRightInd/>
        <w:snapToGrid/>
        <w:spacing w:before="0" w:after="0" w:line="360" w:lineRule="auto"/>
        <w:ind w:firstLine="0" w:firstLineChars="0"/>
        <w:jc w:val="center"/>
        <w:rPr>
          <w:rFonts w:hint="eastAsia" w:ascii="方正小标宋简体" w:hAnsi="方正小标宋简体" w:eastAsia="方正小标宋简体" w:cs="方正小标宋简体"/>
          <w:b w:val="0"/>
          <w:bCs w:val="0"/>
          <w:sz w:val="36"/>
          <w:szCs w:val="36"/>
          <w:highlight w:val="none"/>
        </w:rPr>
      </w:pPr>
      <w:r>
        <w:rPr>
          <w:rFonts w:hint="eastAsia" w:ascii="方正小标宋简体" w:hAnsi="方正小标宋简体" w:eastAsia="方正小标宋简体" w:cs="方正小标宋简体"/>
          <w:b w:val="0"/>
          <w:bCs w:val="0"/>
          <w:sz w:val="36"/>
          <w:szCs w:val="36"/>
          <w:highlight w:val="none"/>
        </w:rPr>
        <w:t>第五部分 部门（单位）决算表</w:t>
      </w:r>
    </w:p>
    <w:p>
      <w:pPr>
        <w:widowControl/>
        <w:spacing w:before="240" w:after="240"/>
        <w:jc w:val="center"/>
        <w:rPr>
          <w:rFonts w:ascii="Times New Roman" w:hAnsi="Times New Roman" w:eastAsia="Times New Roman" w:cs="Times New Roman"/>
          <w:kern w:val="0"/>
          <w:sz w:val="24"/>
        </w:rPr>
      </w:pPr>
    </w:p>
    <w:p>
      <w:pPr>
        <w:widowControl/>
        <w:spacing w:before="240" w:after="240"/>
        <w:jc w:val="left"/>
        <w:rPr>
          <w:rFonts w:hint="eastAsia" w:ascii="仿宋_GB2312" w:hAnsi="仿宋_GB2312" w:eastAsia="仿宋_GB2312" w:cs="仿宋_GB2312"/>
          <w:sz w:val="32"/>
          <w:szCs w:val="32"/>
          <w:highlight w:val="none"/>
        </w:rPr>
      </w:pPr>
      <w:r>
        <w:rPr>
          <w:rFonts w:ascii="fang_song_gb2312" w:hAnsi="fang_song_gb2312" w:eastAsia="fang_song_gb2312" w:cs="fang_song_gb2312"/>
          <w:kern w:val="0"/>
          <w:sz w:val="27"/>
          <w:szCs w:val="27"/>
        </w:rPr>
        <w:t> </w:t>
      </w:r>
      <w:r>
        <w:rPr>
          <w:rFonts w:hint="eastAsia" w:ascii="仿宋_GB2312" w:hAnsi="仿宋_GB2312" w:eastAsia="仿宋_GB2312" w:cs="仿宋_GB2312"/>
          <w:sz w:val="32"/>
          <w:szCs w:val="32"/>
          <w:highlight w:val="none"/>
        </w:rPr>
        <w:t xml:space="preserve">   见附件。1</w:t>
      </w: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p>
      <w:pPr>
        <w:widowControl/>
        <w:spacing w:before="240" w:after="240"/>
        <w:jc w:val="left"/>
        <w:rPr>
          <w:rFonts w:ascii="Times New Roman" w:hAnsi="Times New Roman" w:eastAsia="Times New Roman" w:cs="Times New Roman"/>
          <w:kern w:val="0"/>
          <w:sz w:val="24"/>
        </w:rPr>
      </w:pPr>
    </w:p>
    <w:bookmarkEnd w:id="0"/>
    <w:p>
      <w:pPr>
        <w:adjustRightInd w:val="0"/>
        <w:snapToGrid w:val="0"/>
        <w:rPr>
          <w:rFonts w:ascii="宋体" w:hAnsi="宋体"/>
          <w:b/>
          <w:sz w:val="32"/>
          <w:szCs w:val="32"/>
        </w:rPr>
      </w:pPr>
    </w:p>
    <w:p>
      <w:pPr>
        <w:adjustRightInd w:val="0"/>
        <w:snapToGrid w:val="0"/>
        <w:rPr>
          <w:rFonts w:ascii="宋体" w:hAnsi="宋体"/>
          <w:b/>
          <w:sz w:val="32"/>
          <w:szCs w:val="32"/>
        </w:rPr>
      </w:pPr>
    </w:p>
    <w:p>
      <w:pPr>
        <w:tabs>
          <w:tab w:val="left" w:pos="8415"/>
        </w:tabs>
      </w:pPr>
    </w:p>
    <w:sectPr>
      <w:footerReference r:id="rId3"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fang_song_gb2312">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imes_new_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kai_ti_gb2312">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26</w:t>
    </w:r>
    <w:r>
      <w:rPr>
        <w:lang w:val="zh-CN"/>
      </w:rP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jOGViMWRkZmIzMWMxOWRlOTAyZjRmZTU2MjBhZjM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631"/>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2254F78"/>
    <w:rsid w:val="02360D24"/>
    <w:rsid w:val="02E66B24"/>
    <w:rsid w:val="02F02BCC"/>
    <w:rsid w:val="0560706F"/>
    <w:rsid w:val="07C66F31"/>
    <w:rsid w:val="0C594818"/>
    <w:rsid w:val="12814586"/>
    <w:rsid w:val="17E63D4F"/>
    <w:rsid w:val="187A01E0"/>
    <w:rsid w:val="18E4170B"/>
    <w:rsid w:val="1A3441CE"/>
    <w:rsid w:val="1F3D1B73"/>
    <w:rsid w:val="23707F09"/>
    <w:rsid w:val="269C7383"/>
    <w:rsid w:val="2B0F281A"/>
    <w:rsid w:val="2BDA4BD6"/>
    <w:rsid w:val="2D1E17D8"/>
    <w:rsid w:val="304705A2"/>
    <w:rsid w:val="333E1EEE"/>
    <w:rsid w:val="40EB11DB"/>
    <w:rsid w:val="41CF1984"/>
    <w:rsid w:val="4B456FC6"/>
    <w:rsid w:val="4BEB7011"/>
    <w:rsid w:val="555022BB"/>
    <w:rsid w:val="58912B64"/>
    <w:rsid w:val="5B464D35"/>
    <w:rsid w:val="5E5C3CC0"/>
    <w:rsid w:val="74EA36EE"/>
    <w:rsid w:val="77CA5196"/>
    <w:rsid w:val="79BA0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1"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link w:val="30"/>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25"/>
    <w:autoRedefine/>
    <w:qFormat/>
    <w:uiPriority w:val="0"/>
    <w:pPr>
      <w:keepNext/>
      <w:keepLines/>
      <w:spacing w:before="280" w:after="290" w:line="376" w:lineRule="auto"/>
      <w:outlineLvl w:val="3"/>
    </w:pPr>
    <w:rPr>
      <w:rFonts w:ascii="Cambria" w:hAnsi="Cambria"/>
      <w:b/>
      <w:bCs/>
      <w:sz w:val="28"/>
      <w:szCs w:val="28"/>
    </w:rPr>
  </w:style>
  <w:style w:type="character" w:default="1" w:styleId="22">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6">
    <w:name w:val="toc 7"/>
    <w:basedOn w:val="1"/>
    <w:next w:val="1"/>
    <w:autoRedefine/>
    <w:qFormat/>
    <w:uiPriority w:val="0"/>
    <w:pPr>
      <w:ind w:left="1260"/>
      <w:jc w:val="left"/>
    </w:pPr>
    <w:rPr>
      <w:sz w:val="20"/>
      <w:szCs w:val="20"/>
    </w:rPr>
  </w:style>
  <w:style w:type="paragraph" w:styleId="7">
    <w:name w:val="Document Map"/>
    <w:basedOn w:val="1"/>
    <w:autoRedefine/>
    <w:qFormat/>
    <w:uiPriority w:val="0"/>
    <w:pPr>
      <w:shd w:val="clear" w:color="auto" w:fill="000080"/>
    </w:pPr>
  </w:style>
  <w:style w:type="paragraph" w:styleId="8">
    <w:name w:val="Body Text"/>
    <w:basedOn w:val="1"/>
    <w:autoRedefine/>
    <w:unhideWhenUsed/>
    <w:qFormat/>
    <w:uiPriority w:val="1"/>
    <w:pPr>
      <w:spacing w:after="120"/>
    </w:pPr>
  </w:style>
  <w:style w:type="paragraph" w:styleId="9">
    <w:name w:val="Body Text Indent"/>
    <w:basedOn w:val="1"/>
    <w:autoRedefine/>
    <w:unhideWhenUsed/>
    <w:qFormat/>
    <w:uiPriority w:val="99"/>
    <w:pPr>
      <w:spacing w:beforeLines="0" w:after="120" w:afterLines="0"/>
      <w:ind w:left="420" w:leftChars="200"/>
    </w:pPr>
    <w:rPr>
      <w:rFonts w:hint="default"/>
      <w:sz w:val="24"/>
      <w:szCs w:val="24"/>
    </w:rPr>
  </w:style>
  <w:style w:type="paragraph" w:styleId="10">
    <w:name w:val="toc 5"/>
    <w:basedOn w:val="1"/>
    <w:next w:val="1"/>
    <w:autoRedefine/>
    <w:qFormat/>
    <w:uiPriority w:val="0"/>
    <w:pPr>
      <w:ind w:left="840"/>
      <w:jc w:val="left"/>
    </w:pPr>
    <w:rPr>
      <w:sz w:val="20"/>
      <w:szCs w:val="20"/>
    </w:rPr>
  </w:style>
  <w:style w:type="paragraph" w:styleId="11">
    <w:name w:val="toc 3"/>
    <w:basedOn w:val="1"/>
    <w:next w:val="1"/>
    <w:autoRedefine/>
    <w:qFormat/>
    <w:uiPriority w:val="0"/>
    <w:pPr>
      <w:adjustRightInd w:val="0"/>
      <w:snapToGrid w:val="0"/>
      <w:spacing w:line="360" w:lineRule="auto"/>
      <w:ind w:firstLine="400" w:firstLineChars="400"/>
      <w:jc w:val="left"/>
    </w:pPr>
    <w:rPr>
      <w:sz w:val="24"/>
      <w:szCs w:val="20"/>
    </w:rPr>
  </w:style>
  <w:style w:type="paragraph" w:styleId="12">
    <w:name w:val="toc 8"/>
    <w:basedOn w:val="1"/>
    <w:next w:val="1"/>
    <w:autoRedefine/>
    <w:qFormat/>
    <w:uiPriority w:val="0"/>
    <w:pPr>
      <w:ind w:left="1470"/>
      <w:jc w:val="left"/>
    </w:pPr>
    <w:rPr>
      <w:sz w:val="20"/>
      <w:szCs w:val="20"/>
    </w:rPr>
  </w:style>
  <w:style w:type="paragraph" w:styleId="13">
    <w:name w:val="footer"/>
    <w:basedOn w:val="1"/>
    <w:link w:val="28"/>
    <w:autoRedefine/>
    <w:qFormat/>
    <w:uiPriority w:val="0"/>
    <w:pPr>
      <w:tabs>
        <w:tab w:val="center" w:pos="4153"/>
        <w:tab w:val="right" w:pos="8306"/>
      </w:tabs>
      <w:snapToGrid w:val="0"/>
      <w:jc w:val="left"/>
    </w:pPr>
    <w:rPr>
      <w:sz w:val="18"/>
      <w:szCs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0"/>
    <w:pPr>
      <w:adjustRightInd w:val="0"/>
      <w:snapToGrid w:val="0"/>
      <w:spacing w:line="360" w:lineRule="auto"/>
      <w:jc w:val="left"/>
    </w:pPr>
    <w:rPr>
      <w:b/>
      <w:bCs/>
      <w:sz w:val="24"/>
      <w:szCs w:val="20"/>
    </w:rPr>
  </w:style>
  <w:style w:type="paragraph" w:styleId="16">
    <w:name w:val="toc 4"/>
    <w:basedOn w:val="1"/>
    <w:next w:val="1"/>
    <w:autoRedefine/>
    <w:qFormat/>
    <w:uiPriority w:val="0"/>
    <w:pPr>
      <w:ind w:left="630"/>
      <w:jc w:val="left"/>
    </w:pPr>
    <w:rPr>
      <w:sz w:val="20"/>
      <w:szCs w:val="20"/>
    </w:rPr>
  </w:style>
  <w:style w:type="paragraph" w:styleId="17">
    <w:name w:val="toc 6"/>
    <w:basedOn w:val="1"/>
    <w:next w:val="1"/>
    <w:autoRedefine/>
    <w:qFormat/>
    <w:uiPriority w:val="0"/>
    <w:pPr>
      <w:ind w:left="1050"/>
      <w:jc w:val="left"/>
    </w:pPr>
    <w:rPr>
      <w:sz w:val="20"/>
      <w:szCs w:val="20"/>
    </w:rPr>
  </w:style>
  <w:style w:type="paragraph" w:styleId="18">
    <w:name w:val="toc 2"/>
    <w:basedOn w:val="1"/>
    <w:next w:val="1"/>
    <w:autoRedefine/>
    <w:qFormat/>
    <w:uiPriority w:val="0"/>
    <w:pPr>
      <w:adjustRightInd w:val="0"/>
      <w:snapToGrid w:val="0"/>
      <w:spacing w:line="360" w:lineRule="auto"/>
      <w:ind w:firstLine="200" w:firstLineChars="200"/>
      <w:jc w:val="left"/>
    </w:pPr>
    <w:rPr>
      <w:iCs/>
      <w:sz w:val="24"/>
      <w:szCs w:val="20"/>
    </w:rPr>
  </w:style>
  <w:style w:type="paragraph" w:styleId="19">
    <w:name w:val="toc 9"/>
    <w:basedOn w:val="1"/>
    <w:next w:val="1"/>
    <w:autoRedefine/>
    <w:qFormat/>
    <w:uiPriority w:val="0"/>
    <w:pPr>
      <w:ind w:left="1680"/>
      <w:jc w:val="left"/>
    </w:pPr>
    <w:rPr>
      <w:sz w:val="20"/>
      <w:szCs w:val="20"/>
    </w:rPr>
  </w:style>
  <w:style w:type="paragraph" w:styleId="20">
    <w:name w:val="Body Text First Indent 2"/>
    <w:basedOn w:val="9"/>
    <w:autoRedefine/>
    <w:unhideWhenUsed/>
    <w:qFormat/>
    <w:uiPriority w:val="99"/>
    <w:pPr>
      <w:autoSpaceDE/>
      <w:autoSpaceDN/>
      <w:adjustRightInd/>
      <w:spacing w:beforeLines="0" w:afterLines="0"/>
      <w:ind w:firstLine="420"/>
    </w:pPr>
    <w:rPr>
      <w:rFonts w:hint="eastAsia" w:ascii="宋体" w:hAnsi="宋体" w:eastAsia="宋体"/>
      <w:sz w:val="24"/>
      <w:szCs w:val="24"/>
    </w:rPr>
  </w:style>
  <w:style w:type="character" w:styleId="23">
    <w:name w:val="page number"/>
    <w:basedOn w:val="22"/>
    <w:autoRedefine/>
    <w:qFormat/>
    <w:uiPriority w:val="0"/>
  </w:style>
  <w:style w:type="character" w:styleId="24">
    <w:name w:val="Hyperlink"/>
    <w:basedOn w:val="22"/>
    <w:autoRedefine/>
    <w:qFormat/>
    <w:uiPriority w:val="0"/>
    <w:rPr>
      <w:color w:val="0000FF"/>
      <w:u w:val="single"/>
    </w:rPr>
  </w:style>
  <w:style w:type="character" w:customStyle="1" w:styleId="25">
    <w:name w:val="标题 4 字符"/>
    <w:basedOn w:val="22"/>
    <w:link w:val="5"/>
    <w:autoRedefine/>
    <w:qFormat/>
    <w:uiPriority w:val="0"/>
    <w:rPr>
      <w:rFonts w:ascii="Cambria" w:hAnsi="Cambria"/>
      <w:b/>
      <w:bCs/>
      <w:kern w:val="2"/>
      <w:sz w:val="28"/>
      <w:szCs w:val="28"/>
    </w:rPr>
  </w:style>
  <w:style w:type="paragraph" w:styleId="26">
    <w:name w:val="No Spacing"/>
    <w:link w:val="27"/>
    <w:autoRedefine/>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7">
    <w:name w:val="无间隔 字符"/>
    <w:link w:val="26"/>
    <w:autoRedefine/>
    <w:qFormat/>
    <w:locked/>
    <w:uiPriority w:val="0"/>
    <w:rPr>
      <w:rFonts w:eastAsia="仿宋_GB2312"/>
      <w:sz w:val="30"/>
      <w:szCs w:val="22"/>
      <w:lang w:bidi="ar-SA"/>
    </w:rPr>
  </w:style>
  <w:style w:type="character" w:customStyle="1" w:styleId="28">
    <w:name w:val="页脚 字符"/>
    <w:basedOn w:val="22"/>
    <w:link w:val="13"/>
    <w:autoRedefine/>
    <w:qFormat/>
    <w:uiPriority w:val="0"/>
    <w:rPr>
      <w:kern w:val="2"/>
      <w:sz w:val="18"/>
      <w:szCs w:val="18"/>
    </w:rPr>
  </w:style>
  <w:style w:type="paragraph" w:styleId="29">
    <w:name w:val="List Paragraph"/>
    <w:basedOn w:val="1"/>
    <w:autoRedefine/>
    <w:qFormat/>
    <w:uiPriority w:val="0"/>
    <w:pPr>
      <w:ind w:firstLine="420" w:firstLineChars="200"/>
    </w:pPr>
  </w:style>
  <w:style w:type="character" w:customStyle="1" w:styleId="30">
    <w:name w:val="标题 3 字符"/>
    <w:basedOn w:val="22"/>
    <w:link w:val="2"/>
    <w:autoRedefine/>
    <w:qFormat/>
    <w:uiPriority w:val="0"/>
    <w:rPr>
      <w:b/>
      <w:bCs/>
      <w:kern w:val="2"/>
      <w:sz w:val="32"/>
      <w:szCs w:val="32"/>
    </w:rPr>
  </w:style>
  <w:style w:type="paragraph" w:customStyle="1" w:styleId="31">
    <w:name w:val="MsoNormal"/>
    <w:basedOn w:val="1"/>
    <w:autoRedefine/>
    <w:qFormat/>
    <w:uiPriority w:val="0"/>
  </w:style>
  <w:style w:type="paragraph" w:customStyle="1" w:styleId="32">
    <w:name w:val="MsoBodyText"/>
    <w:basedOn w:val="1"/>
    <w:autoRedefine/>
    <w:qFormat/>
    <w:uiPriority w:val="0"/>
  </w:style>
  <w:style w:type="paragraph" w:customStyle="1" w:styleId="33">
    <w:name w:val="MsoBodyTextFirstIndent2"/>
    <w:basedOn w:val="1"/>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oleObject" Target="&#24037;&#20316;&#31807;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r>
              <a:t>收入决算</a:t>
            </a:r>
          </a:p>
        </c:rich>
      </c:tx>
      <c:layout/>
      <c:overlay val="0"/>
      <c:spPr>
        <a:noFill/>
        <a:ln>
          <a:noFill/>
        </a:ln>
        <a:effectLst/>
      </c:spPr>
    </c:title>
    <c:autoTitleDeleted val="0"/>
    <c:plotArea>
      <c:layout/>
      <c:pieChart>
        <c:varyColors val="1"/>
        <c:ser>
          <c:idx val="1"/>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Pt>
            <c:idx val="6"/>
            <c:bubble3D val="0"/>
            <c:spPr>
              <a:solidFill>
                <a:schemeClr val="accent1">
                  <a:lumMod val="60000"/>
                </a:schemeClr>
              </a:solidFill>
              <a:ln>
                <a:solidFill>
                  <a:schemeClr val="bg1"/>
                </a:solidFill>
              </a:ln>
              <a:effectLst/>
            </c:spPr>
          </c:dPt>
          <c:dPt>
            <c:idx val="7"/>
            <c:bubble3D val="0"/>
            <c:spPr>
              <a:solidFill>
                <a:schemeClr val="accent2">
                  <a:lumMod val="60000"/>
                </a:schemeClr>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[工作簿1]Sheet1!$A$1:$H$1</c:f>
              <c:strCache>
                <c:ptCount val="8"/>
                <c:pt idx="0">
                  <c:v>一般公共预算财政拨款收入</c:v>
                </c:pt>
                <c:pt idx="1">
                  <c:v>政府性基金预算财政拨款收入</c:v>
                </c:pt>
                <c:pt idx="2">
                  <c:v>国有资本经营预算财政拨款收入</c:v>
                </c:pt>
                <c:pt idx="3">
                  <c:v>上级补助收入</c:v>
                </c:pt>
                <c:pt idx="4">
                  <c:v>事业收入</c:v>
                </c:pt>
                <c:pt idx="5">
                  <c:v>经营收入</c:v>
                </c:pt>
                <c:pt idx="6">
                  <c:v>附属单位上缴收入</c:v>
                </c:pt>
                <c:pt idx="7">
                  <c:v>其他收入</c:v>
                </c:pt>
              </c:strCache>
            </c:strRef>
          </c:cat>
          <c:val>
            <c:numRef>
              <c:f>[工作簿1]Sheet1!$A$2:$H$2</c:f>
              <c:numCache>
                <c:formatCode>General</c:formatCode>
                <c:ptCount val="8"/>
                <c:pt idx="0">
                  <c:v>1591.91</c:v>
                </c:pt>
                <c:pt idx="1">
                  <c:v>0</c:v>
                </c:pt>
                <c:pt idx="2">
                  <c:v>0</c:v>
                </c:pt>
                <c:pt idx="3">
                  <c:v>0</c:v>
                </c:pt>
                <c:pt idx="4">
                  <c:v>0</c:v>
                </c:pt>
                <c:pt idx="5">
                  <c:v>0</c:v>
                </c:pt>
                <c:pt idx="6">
                  <c:v>0</c:v>
                </c:pt>
                <c:pt idx="7">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r>
              <a:t>支出决算</a:t>
            </a:r>
          </a:p>
        </c:rich>
      </c:tx>
      <c:layout/>
      <c:overlay val="0"/>
      <c:spPr>
        <a:noFill/>
        <a:ln>
          <a:noFill/>
        </a:ln>
        <a:effectLst/>
      </c:spPr>
    </c:title>
    <c:autoTitleDeleted val="0"/>
    <c:plotArea>
      <c:layout/>
      <c:pieChart>
        <c:varyColors val="1"/>
        <c:ser>
          <c:idx val="1"/>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0" i="0" u="none" strike="noStrike" kern="1200" baseline="0">
                    <a:solidFill>
                      <a:schemeClr val="bg1"/>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[工作簿1]Sheet1!$A$1:$E$1</c:f>
              <c:strCache>
                <c:ptCount val="5"/>
                <c:pt idx="0">
                  <c:v>基本支出</c:v>
                </c:pt>
                <c:pt idx="1">
                  <c:v>项目支出</c:v>
                </c:pt>
                <c:pt idx="2">
                  <c:v>上缴上级支出</c:v>
                </c:pt>
                <c:pt idx="3">
                  <c:v>经营支出</c:v>
                </c:pt>
                <c:pt idx="4">
                  <c:v>对附属单位补助支出</c:v>
                </c:pt>
              </c:strCache>
            </c:strRef>
          </c:cat>
          <c:val>
            <c:numRef>
              <c:f>[工作簿1]Sheet1!$A$2:$E$2</c:f>
              <c:numCache>
                <c:formatCode>General</c:formatCode>
                <c:ptCount val="5"/>
                <c:pt idx="0">
                  <c:v>744.5</c:v>
                </c:pt>
                <c:pt idx="1">
                  <c:v>846.52</c:v>
                </c:pt>
                <c:pt idx="2">
                  <c:v>0</c:v>
                </c:pt>
                <c:pt idx="3">
                  <c:v>0</c:v>
                </c:pt>
                <c:pt idx="4">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75000"/>
                  <a:lumOff val="25000"/>
                </a:schemeClr>
              </a:solidFill>
              <a:latin typeface="微软雅黑" panose="020B0503020204020204" pitchFamily="34" charset="-122"/>
              <a:ea typeface="微软雅黑" panose="020B0503020204020204" pitchFamily="34" charset="-122"/>
              <a:cs typeface="微软雅黑" panose="020B0503020204020204" pitchFamily="34" charset="-122"/>
              <a:sym typeface="微软雅黑" panose="020B0503020204020204" pitchFamily="34" charset="-122"/>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WP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31</Pages>
  <Words>13927</Words>
  <Characters>15139</Characters>
  <Lines>1</Lines>
  <Paragraphs>1</Paragraphs>
  <TotalTime>1</TotalTime>
  <ScaleCrop>false</ScaleCrop>
  <LinksUpToDate>false</LinksUpToDate>
  <CharactersWithSpaces>15923</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舞</cp:lastModifiedBy>
  <cp:lastPrinted>2021-04-16T00:45:00Z</cp:lastPrinted>
  <dcterms:modified xsi:type="dcterms:W3CDTF">2024-07-29T06:56:00Z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FA028F0F0D30415CBF1A8A79CD73CFA7_12</vt:lpwstr>
  </property>
</Properties>
</file>