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ascii="仿宋_GB2312" w:eastAsia="仿宋_GB2312" w:cs="Times New Roman"/>
          <w:color w:val="000000" w:themeColor="text1"/>
          <w:sz w:val="32"/>
          <w:szCs w:val="32"/>
          <w14:textFill>
            <w14:solidFill>
              <w14:schemeClr w14:val="tx1"/>
            </w14:solidFill>
          </w14:textFill>
        </w:rPr>
      </w:pPr>
      <w:bookmarkStart w:id="7" w:name="_GoBack"/>
      <w:bookmarkEnd w:id="7"/>
    </w:p>
    <w:p>
      <w:pPr>
        <w:widowControl/>
        <w:snapToGrid w:val="0"/>
        <w:ind w:firstLine="0" w:firstLineChars="0"/>
        <w:jc w:val="center"/>
        <w:rPr>
          <w:rFonts w:eastAsia="方正小标宋简体" w:cs="Times New Roman"/>
          <w:color w:val="000000" w:themeColor="text1"/>
          <w:sz w:val="44"/>
          <w:szCs w:val="48"/>
          <w14:textFill>
            <w14:solidFill>
              <w14:schemeClr w14:val="tx1"/>
            </w14:solidFill>
          </w14:textFill>
        </w:rPr>
      </w:pPr>
      <w:r>
        <w:rPr>
          <w:rFonts w:hint="eastAsia" w:eastAsia="方正小标宋简体" w:cs="Times New Roman"/>
          <w:color w:val="000000" w:themeColor="text1"/>
          <w:sz w:val="44"/>
          <w:szCs w:val="48"/>
          <w14:textFill>
            <w14:solidFill>
              <w14:schemeClr w14:val="tx1"/>
            </w14:solidFill>
          </w14:textFill>
        </w:rPr>
        <w:t>2</w:t>
      </w:r>
      <w:r>
        <w:rPr>
          <w:rFonts w:eastAsia="方正小标宋简体" w:cs="Times New Roman"/>
          <w:color w:val="000000" w:themeColor="text1"/>
          <w:sz w:val="44"/>
          <w:szCs w:val="48"/>
          <w14:textFill>
            <w14:solidFill>
              <w14:schemeClr w14:val="tx1"/>
            </w14:solidFill>
          </w14:textFill>
        </w:rPr>
        <w:t>025</w:t>
      </w:r>
      <w:r>
        <w:rPr>
          <w:rFonts w:hint="eastAsia" w:eastAsia="方正小标宋简体" w:cs="Times New Roman"/>
          <w:color w:val="000000" w:themeColor="text1"/>
          <w:sz w:val="44"/>
          <w:szCs w:val="48"/>
          <w14:textFill>
            <w14:solidFill>
              <w14:schemeClr w14:val="tx1"/>
            </w14:solidFill>
          </w14:textFill>
        </w:rPr>
        <w:t>年自治区科技创新重大示范专项</w:t>
      </w:r>
    </w:p>
    <w:p>
      <w:pPr>
        <w:adjustRightInd w:val="0"/>
        <w:snapToGrid w:val="0"/>
        <w:ind w:firstLine="0" w:firstLineChars="0"/>
        <w:jc w:val="center"/>
        <w:rPr>
          <w:rFonts w:eastAsia="方正小标宋简体" w:cs="Times New Roman"/>
          <w:color w:val="000000" w:themeColor="text1"/>
          <w:sz w:val="44"/>
          <w:szCs w:val="48"/>
          <w14:textFill>
            <w14:solidFill>
              <w14:schemeClr w14:val="tx1"/>
            </w14:solidFill>
          </w14:textFill>
        </w:rPr>
      </w:pPr>
      <w:r>
        <w:rPr>
          <w:rFonts w:hint="eastAsia" w:eastAsia="方正小标宋简体" w:cs="Times New Roman"/>
          <w:color w:val="000000" w:themeColor="text1"/>
          <w:sz w:val="44"/>
          <w:szCs w:val="48"/>
          <w14:textFill>
            <w14:solidFill>
              <w14:schemeClr w14:val="tx1"/>
            </w14:solidFill>
          </w14:textFill>
        </w:rPr>
        <w:t>（</w:t>
      </w:r>
      <w:bookmarkStart w:id="0" w:name="OLE_LINK19"/>
      <w:bookmarkStart w:id="1" w:name="OLE_LINK20"/>
      <w:r>
        <w:rPr>
          <w:rFonts w:hint="eastAsia" w:eastAsia="方正小标宋简体" w:cs="Times New Roman"/>
          <w:color w:val="000000" w:themeColor="text1"/>
          <w:sz w:val="44"/>
          <w:szCs w:val="48"/>
          <w14:textFill>
            <w14:solidFill>
              <w14:schemeClr w14:val="tx1"/>
            </w14:solidFill>
          </w14:textFill>
        </w:rPr>
        <w:t>花粉症防治</w:t>
      </w:r>
      <w:bookmarkEnd w:id="0"/>
      <w:bookmarkEnd w:id="1"/>
      <w:r>
        <w:rPr>
          <w:rFonts w:hint="eastAsia" w:eastAsia="方正小标宋简体" w:cs="Times New Roman"/>
          <w:color w:val="000000" w:themeColor="text1"/>
          <w:sz w:val="44"/>
          <w:szCs w:val="48"/>
          <w14:textFill>
            <w14:solidFill>
              <w14:schemeClr w14:val="tx1"/>
            </w14:solidFill>
          </w14:textFill>
        </w:rPr>
        <w:t>）“</w:t>
      </w:r>
      <w:r>
        <w:rPr>
          <w:rFonts w:eastAsia="方正小标宋简体" w:cs="Times New Roman"/>
          <w:color w:val="000000" w:themeColor="text1"/>
          <w:sz w:val="44"/>
          <w:szCs w:val="48"/>
          <w14:textFill>
            <w14:solidFill>
              <w14:schemeClr w14:val="tx1"/>
            </w14:solidFill>
          </w14:textFill>
        </w:rPr>
        <w:t>揭榜挂</w:t>
      </w:r>
      <w:r>
        <w:rPr>
          <w:rFonts w:hint="eastAsia" w:ascii="方正小标宋简体" w:eastAsia="方正小标宋简体" w:cs="Times New Roman"/>
          <w:color w:val="000000" w:themeColor="text1"/>
          <w:sz w:val="44"/>
          <w:szCs w:val="48"/>
          <w14:textFill>
            <w14:solidFill>
              <w14:schemeClr w14:val="tx1"/>
            </w14:solidFill>
          </w14:textFill>
        </w:rPr>
        <w:t>帅”项</w:t>
      </w:r>
      <w:r>
        <w:rPr>
          <w:rFonts w:hint="eastAsia" w:eastAsia="方正小标宋简体" w:cs="Times New Roman"/>
          <w:color w:val="000000" w:themeColor="text1"/>
          <w:sz w:val="44"/>
          <w:szCs w:val="48"/>
          <w14:textFill>
            <w14:solidFill>
              <w14:schemeClr w14:val="tx1"/>
            </w14:solidFill>
          </w14:textFill>
        </w:rPr>
        <w:t>目技术</w:t>
      </w:r>
      <w:r>
        <w:rPr>
          <w:rFonts w:eastAsia="方正小标宋简体" w:cs="Times New Roman"/>
          <w:color w:val="000000" w:themeColor="text1"/>
          <w:sz w:val="44"/>
          <w:szCs w:val="48"/>
          <w14:textFill>
            <w14:solidFill>
              <w14:schemeClr w14:val="tx1"/>
            </w14:solidFill>
          </w14:textFill>
        </w:rPr>
        <w:t>榜单</w:t>
      </w:r>
    </w:p>
    <w:p>
      <w:pPr>
        <w:adjustRightInd w:val="0"/>
        <w:snapToGrid w:val="0"/>
        <w:spacing w:line="640" w:lineRule="exact"/>
        <w:ind w:firstLine="0" w:firstLineChars="0"/>
        <w:jc w:val="center"/>
        <w:rPr>
          <w:rFonts w:eastAsia="方正仿宋_GB2312" w:cs="Times New Roman"/>
          <w:color w:val="000000" w:themeColor="text1"/>
          <w:sz w:val="28"/>
          <w:szCs w:val="28"/>
          <w14:textFill>
            <w14:solidFill>
              <w14:schemeClr w14:val="tx1"/>
            </w14:solidFill>
          </w14:textFill>
        </w:rPr>
      </w:pPr>
    </w:p>
    <w:p>
      <w:pPr>
        <w:adjustRightInd w:val="0"/>
        <w:snapToGrid w:val="0"/>
        <w:spacing w:line="620" w:lineRule="exact"/>
        <w:ind w:firstLine="640"/>
        <w:rPr>
          <w:rFonts w:eastAsia="黑体" w:cs="Times New Roman"/>
          <w:color w:val="000000" w:themeColor="text1"/>
          <w:sz w:val="32"/>
          <w:szCs w:val="32"/>
          <w14:textFill>
            <w14:solidFill>
              <w14:schemeClr w14:val="tx1"/>
            </w14:solidFill>
          </w14:textFill>
        </w:rPr>
      </w:pPr>
      <w:r>
        <w:rPr>
          <w:rFonts w:hint="eastAsia" w:eastAsia="黑体" w:cs="Times New Roman"/>
          <w:color w:val="000000" w:themeColor="text1"/>
          <w:sz w:val="32"/>
          <w:szCs w:val="32"/>
          <w14:textFill>
            <w14:solidFill>
              <w14:schemeClr w14:val="tx1"/>
            </w14:solidFill>
          </w14:textFill>
        </w:rPr>
        <w:t>一、</w:t>
      </w:r>
      <w:bookmarkStart w:id="2" w:name="OLE_LINK1"/>
      <w:r>
        <w:rPr>
          <w:rFonts w:hint="eastAsia" w:eastAsia="黑体" w:cs="Times New Roman"/>
          <w:color w:val="000000" w:themeColor="text1"/>
          <w:sz w:val="32"/>
          <w:szCs w:val="32"/>
          <w14:textFill>
            <w14:solidFill>
              <w14:schemeClr w14:val="tx1"/>
            </w14:solidFill>
          </w14:textFill>
        </w:rPr>
        <w:t>内蒙古地区花粉致敏风险防控及</w:t>
      </w:r>
      <w:bookmarkEnd w:id="2"/>
      <w:r>
        <w:rPr>
          <w:rFonts w:hint="eastAsia" w:eastAsia="黑体" w:cs="Times New Roman"/>
          <w:color w:val="000000" w:themeColor="text1"/>
          <w:sz w:val="32"/>
          <w:szCs w:val="32"/>
          <w14:textFill>
            <w14:solidFill>
              <w14:schemeClr w14:val="tx1"/>
            </w14:solidFill>
          </w14:textFill>
        </w:rPr>
        <w:t>预报预警体系建设</w:t>
      </w:r>
    </w:p>
    <w:p>
      <w:pPr>
        <w:adjustRightInd w:val="0"/>
        <w:snapToGrid w:val="0"/>
        <w:spacing w:line="620" w:lineRule="exact"/>
        <w:ind w:firstLine="643"/>
        <w:outlineLvl w:val="2"/>
        <w:rPr>
          <w:rFonts w:eastAsia="楷体" w:cs="Times New Roman"/>
          <w:b/>
          <w:bCs/>
          <w:i/>
          <w:color w:val="000000" w:themeColor="text1"/>
          <w:sz w:val="32"/>
          <w:szCs w:val="32"/>
          <w14:textFill>
            <w14:solidFill>
              <w14:schemeClr w14:val="tx1"/>
            </w14:solidFill>
          </w14:textFill>
        </w:rPr>
      </w:pPr>
      <w:bookmarkStart w:id="3" w:name="OLE_LINK3"/>
      <w:r>
        <w:rPr>
          <w:rFonts w:hint="eastAsia" w:eastAsia="楷体" w:cs="Times New Roman"/>
          <w:b/>
          <w:bCs/>
          <w:color w:val="000000" w:themeColor="text1"/>
          <w:sz w:val="32"/>
          <w:szCs w:val="32"/>
          <w14:textFill>
            <w14:solidFill>
              <w14:schemeClr w14:val="tx1"/>
            </w14:solidFill>
          </w14:textFill>
        </w:rPr>
        <w:t>1</w:t>
      </w:r>
      <w:r>
        <w:rPr>
          <w:rFonts w:eastAsia="楷体" w:cs="Times New Roman"/>
          <w:b/>
          <w:bCs/>
          <w:color w:val="000000" w:themeColor="text1"/>
          <w:sz w:val="32"/>
          <w:szCs w:val="32"/>
          <w14:textFill>
            <w14:solidFill>
              <w14:schemeClr w14:val="tx1"/>
            </w14:solidFill>
          </w14:textFill>
        </w:rPr>
        <w:t>.</w:t>
      </w:r>
      <w:r>
        <w:rPr>
          <w:rFonts w:hint="eastAsia" w:eastAsia="楷体" w:cs="Times New Roman"/>
          <w:b/>
          <w:bCs/>
          <w:color w:val="000000" w:themeColor="text1"/>
          <w:sz w:val="32"/>
          <w:szCs w:val="32"/>
          <w14:textFill>
            <w14:solidFill>
              <w14:schemeClr w14:val="tx1"/>
            </w14:solidFill>
          </w14:textFill>
        </w:rPr>
        <w:t>研究内容</w:t>
      </w:r>
    </w:p>
    <w:p>
      <w:pPr>
        <w:spacing w:line="620" w:lineRule="exact"/>
        <w:ind w:firstLine="640"/>
        <w:rPr>
          <w:rFonts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14:textFill>
            <w14:solidFill>
              <w14:schemeClr w14:val="tx1"/>
            </w14:solidFill>
          </w14:textFill>
        </w:rPr>
        <w:t>针对内蒙古地区花粉致敏风险防控和公众健康服务的重大需求，开展致敏植物生长发育及传播扩散机制研究，厘清典型区域致敏植物空间分布格局，开展致敏植物花粉抑制药剂和生物、物理、化学等防除技术方法研究，形成致敏植物有效防除方案，并在典型区域示范应用，从源头解决致敏花粉的产生、扩散以及特定区域花粉突发性爆发扩散等应急防控问题；开展花粉浓度监测技术标准研究，构建致敏花粉特征数据库与高精度分类算法，开展致敏植被精细分类与花粉排放强度反演技术研究，建立分季节、分物种的参数化排放模型，构建花粉浓度精细化预报技术；研究花粉与</w:t>
      </w:r>
      <w:r>
        <w:rPr>
          <w:rFonts w:eastAsia="仿宋_GB2312" w:cs="Times New Roman"/>
          <w:color w:val="000000" w:themeColor="text1"/>
          <w:sz w:val="32"/>
          <w:szCs w:val="32"/>
          <w14:textFill>
            <w14:solidFill>
              <w14:schemeClr w14:val="tx1"/>
            </w14:solidFill>
          </w14:textFill>
        </w:rPr>
        <w:t>PM2.5</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O</w:t>
      </w:r>
      <w:r>
        <w:rPr>
          <w:rFonts w:eastAsia="仿宋_GB2312" w:cs="Times New Roman"/>
          <w:color w:val="000000" w:themeColor="text1"/>
          <w:sz w:val="32"/>
          <w:szCs w:val="32"/>
          <w:vertAlign w:val="subscript"/>
          <w14:textFill>
            <w14:solidFill>
              <w14:schemeClr w14:val="tx1"/>
            </w14:solidFill>
          </w14:textFill>
        </w:rPr>
        <w:t>3</w:t>
      </w:r>
      <w:r>
        <w:rPr>
          <w:rFonts w:hint="eastAsia" w:eastAsia="仿宋_GB2312" w:cs="Times New Roman"/>
          <w:color w:val="000000" w:themeColor="text1"/>
          <w:sz w:val="32"/>
          <w:szCs w:val="32"/>
          <w14:textFill>
            <w14:solidFill>
              <w14:schemeClr w14:val="tx1"/>
            </w14:solidFill>
          </w14:textFill>
        </w:rPr>
        <w:t>等污染物的协同效应，构建暴露健康风险动态评估模型，确定健康风险阈值，研发风险分级与预警产品生成技术；开发健康气象服务平台，构建基于多终端产品发布系统和针对不同季节、不同区域的花粉过敏风险精准化防控技术体系。</w:t>
      </w:r>
    </w:p>
    <w:p>
      <w:pPr>
        <w:adjustRightInd w:val="0"/>
        <w:snapToGrid w:val="0"/>
        <w:spacing w:line="620" w:lineRule="exact"/>
        <w:ind w:firstLine="643"/>
        <w:outlineLvl w:val="2"/>
        <w:rPr>
          <w:rFonts w:eastAsia="楷体" w:cs="Times New Roman"/>
          <w:b/>
          <w:bCs/>
          <w:color w:val="000000" w:themeColor="text1"/>
          <w:sz w:val="32"/>
          <w:szCs w:val="32"/>
          <w14:textFill>
            <w14:solidFill>
              <w14:schemeClr w14:val="tx1"/>
            </w14:solidFill>
          </w14:textFill>
        </w:rPr>
      </w:pPr>
      <w:r>
        <w:rPr>
          <w:rFonts w:hint="eastAsia" w:eastAsia="楷体" w:cs="Times New Roman"/>
          <w:b/>
          <w:bCs/>
          <w:color w:val="000000" w:themeColor="text1"/>
          <w:sz w:val="32"/>
          <w:szCs w:val="32"/>
          <w14:textFill>
            <w14:solidFill>
              <w14:schemeClr w14:val="tx1"/>
            </w14:solidFill>
          </w14:textFill>
        </w:rPr>
        <w:t>2</w:t>
      </w:r>
      <w:r>
        <w:rPr>
          <w:rFonts w:eastAsia="楷体" w:cs="Times New Roman"/>
          <w:b/>
          <w:bCs/>
          <w:color w:val="000000" w:themeColor="text1"/>
          <w:sz w:val="32"/>
          <w:szCs w:val="32"/>
          <w14:textFill>
            <w14:solidFill>
              <w14:schemeClr w14:val="tx1"/>
            </w14:solidFill>
          </w14:textFill>
        </w:rPr>
        <w:t>.</w:t>
      </w:r>
      <w:r>
        <w:rPr>
          <w:rFonts w:hint="eastAsia" w:eastAsia="楷体" w:cs="Times New Roman"/>
          <w:b/>
          <w:bCs/>
          <w:color w:val="000000" w:themeColor="text1"/>
          <w:sz w:val="32"/>
          <w:szCs w:val="32"/>
          <w14:textFill>
            <w14:solidFill>
              <w14:schemeClr w14:val="tx1"/>
            </w14:solidFill>
          </w14:textFill>
        </w:rPr>
        <w:t>考核指标</w:t>
      </w:r>
    </w:p>
    <w:p>
      <w:pPr>
        <w:spacing w:line="620" w:lineRule="exact"/>
        <w:ind w:firstLine="640"/>
        <w:rPr>
          <w:rFonts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14:textFill>
            <w14:solidFill>
              <w14:schemeClr w14:val="tx1"/>
            </w14:solidFill>
          </w14:textFill>
        </w:rPr>
        <w:t>编制内蒙古典型区域不同季节致敏植被花粉源清单、高致敏植被防控清单各</w:t>
      </w:r>
      <w:r>
        <w:rPr>
          <w:rFonts w:eastAsia="仿宋_GB2312" w:cs="Times New Roman"/>
          <w:color w:val="000000" w:themeColor="text1"/>
          <w:sz w:val="32"/>
          <w:szCs w:val="32"/>
          <w14:textFill>
            <w14:solidFill>
              <w14:schemeClr w14:val="tx1"/>
            </w14:solidFill>
          </w14:textFill>
        </w:rPr>
        <w:t>1</w:t>
      </w:r>
      <w:r>
        <w:rPr>
          <w:rFonts w:hint="eastAsia" w:eastAsia="仿宋_GB2312" w:cs="Times New Roman"/>
          <w:color w:val="000000" w:themeColor="text1"/>
          <w:sz w:val="32"/>
          <w:szCs w:val="32"/>
          <w14:textFill>
            <w14:solidFill>
              <w14:schemeClr w14:val="tx1"/>
            </w14:solidFill>
          </w14:textFill>
        </w:rPr>
        <w:t>份；研制出花粉抑制剂至少</w:t>
      </w:r>
      <w:r>
        <w:rPr>
          <w:rFonts w:eastAsia="仿宋_GB2312" w:cs="Times New Roman"/>
          <w:color w:val="000000" w:themeColor="text1"/>
          <w:sz w:val="32"/>
          <w:szCs w:val="32"/>
          <w14:textFill>
            <w14:solidFill>
              <w14:schemeClr w14:val="tx1"/>
            </w14:solidFill>
          </w14:textFill>
        </w:rPr>
        <w:t>1</w:t>
      </w:r>
      <w:r>
        <w:rPr>
          <w:rFonts w:hint="eastAsia" w:eastAsia="仿宋_GB2312" w:cs="Times New Roman"/>
          <w:color w:val="000000" w:themeColor="text1"/>
          <w:sz w:val="32"/>
          <w:szCs w:val="32"/>
          <w14:textFill>
            <w14:solidFill>
              <w14:schemeClr w14:val="tx1"/>
            </w14:solidFill>
          </w14:textFill>
        </w:rPr>
        <w:t>种，抑制效果达</w:t>
      </w:r>
      <w:r>
        <w:rPr>
          <w:rFonts w:eastAsia="仿宋_GB2312" w:cs="Times New Roman"/>
          <w:color w:val="000000" w:themeColor="text1"/>
          <w:sz w:val="32"/>
          <w:szCs w:val="32"/>
          <w14:textFill>
            <w14:solidFill>
              <w14:schemeClr w14:val="tx1"/>
            </w14:solidFill>
          </w14:textFill>
        </w:rPr>
        <w:t>80%</w:t>
      </w:r>
      <w:r>
        <w:rPr>
          <w:rFonts w:hint="eastAsia" w:eastAsia="仿宋_GB2312" w:cs="Times New Roman"/>
          <w:color w:val="000000" w:themeColor="text1"/>
          <w:sz w:val="32"/>
          <w:szCs w:val="32"/>
          <w14:textFill>
            <w14:solidFill>
              <w14:schemeClr w14:val="tx1"/>
            </w14:solidFill>
          </w14:textFill>
        </w:rPr>
        <w:t>以上，研制出花粉扩散束缚剂至少</w:t>
      </w:r>
      <w:r>
        <w:rPr>
          <w:rFonts w:eastAsia="仿宋_GB2312" w:cs="Times New Roman"/>
          <w:color w:val="000000" w:themeColor="text1"/>
          <w:sz w:val="32"/>
          <w:szCs w:val="32"/>
          <w14:textFill>
            <w14:solidFill>
              <w14:schemeClr w14:val="tx1"/>
            </w14:solidFill>
          </w14:textFill>
        </w:rPr>
        <w:t>1</w:t>
      </w:r>
      <w:r>
        <w:rPr>
          <w:rFonts w:hint="eastAsia" w:eastAsia="仿宋_GB2312" w:cs="Times New Roman"/>
          <w:color w:val="000000" w:themeColor="text1"/>
          <w:sz w:val="32"/>
          <w:szCs w:val="32"/>
          <w14:textFill>
            <w14:solidFill>
              <w14:schemeClr w14:val="tx1"/>
            </w14:solidFill>
          </w14:textFill>
        </w:rPr>
        <w:t>种，应急控制率达</w:t>
      </w:r>
      <w:r>
        <w:rPr>
          <w:rFonts w:eastAsia="仿宋_GB2312" w:cs="Times New Roman"/>
          <w:color w:val="000000" w:themeColor="text1"/>
          <w:sz w:val="32"/>
          <w:szCs w:val="32"/>
          <w14:textFill>
            <w14:solidFill>
              <w14:schemeClr w14:val="tx1"/>
            </w14:solidFill>
          </w14:textFill>
        </w:rPr>
        <w:t>80%</w:t>
      </w:r>
      <w:r>
        <w:rPr>
          <w:rFonts w:hint="eastAsia" w:eastAsia="仿宋_GB2312" w:cs="Times New Roman"/>
          <w:color w:val="000000" w:themeColor="text1"/>
          <w:sz w:val="32"/>
          <w:szCs w:val="32"/>
          <w14:textFill>
            <w14:solidFill>
              <w14:schemeClr w14:val="tx1"/>
            </w14:solidFill>
          </w14:textFill>
        </w:rPr>
        <w:t>以上，形成致敏植物防除技术方案不少于</w:t>
      </w:r>
      <w:r>
        <w:rPr>
          <w:rFonts w:eastAsia="仿宋_GB2312" w:cs="Times New Roman"/>
          <w:color w:val="000000" w:themeColor="text1"/>
          <w:sz w:val="32"/>
          <w:szCs w:val="32"/>
          <w14:textFill>
            <w14:solidFill>
              <w14:schemeClr w14:val="tx1"/>
            </w14:solidFill>
          </w14:textFill>
        </w:rPr>
        <w:t>2</w:t>
      </w:r>
      <w:r>
        <w:rPr>
          <w:rFonts w:hint="eastAsia" w:eastAsia="仿宋_GB2312" w:cs="Times New Roman"/>
          <w:color w:val="000000" w:themeColor="text1"/>
          <w:sz w:val="32"/>
          <w:szCs w:val="32"/>
          <w14:textFill>
            <w14:solidFill>
              <w14:schemeClr w14:val="tx1"/>
            </w14:solidFill>
          </w14:textFill>
        </w:rPr>
        <w:t>套，核心示范区面积不小于</w:t>
      </w:r>
      <w:r>
        <w:rPr>
          <w:rFonts w:eastAsia="仿宋_GB2312" w:cs="Times New Roman"/>
          <w:color w:val="000000" w:themeColor="text1"/>
          <w:sz w:val="32"/>
          <w:szCs w:val="32"/>
          <w14:textFill>
            <w14:solidFill>
              <w14:schemeClr w14:val="tx1"/>
            </w14:solidFill>
          </w14:textFill>
        </w:rPr>
        <w:t>1000</w:t>
      </w:r>
      <w:r>
        <w:rPr>
          <w:rFonts w:hint="eastAsia" w:eastAsia="仿宋_GB2312" w:cs="Times New Roman"/>
          <w:color w:val="000000" w:themeColor="text1"/>
          <w:sz w:val="32"/>
          <w:szCs w:val="32"/>
          <w14:textFill>
            <w14:solidFill>
              <w14:schemeClr w14:val="tx1"/>
            </w14:solidFill>
          </w14:textFill>
        </w:rPr>
        <w:t>亩；研发内蒙古地区不同致敏植被花期和花粉浓度数值预报关键技术，预报时间分辨率不低于</w:t>
      </w:r>
      <w:r>
        <w:rPr>
          <w:rFonts w:eastAsia="仿宋_GB2312" w:cs="Times New Roman"/>
          <w:color w:val="000000" w:themeColor="text1"/>
          <w:sz w:val="32"/>
          <w:szCs w:val="32"/>
          <w14:textFill>
            <w14:solidFill>
              <w14:schemeClr w14:val="tx1"/>
            </w14:solidFill>
          </w14:textFill>
        </w:rPr>
        <w:t>1</w:t>
      </w:r>
      <w:r>
        <w:rPr>
          <w:rFonts w:hint="eastAsia" w:eastAsia="仿宋_GB2312" w:cs="Times New Roman"/>
          <w:color w:val="000000" w:themeColor="text1"/>
          <w:sz w:val="32"/>
          <w:szCs w:val="32"/>
          <w14:textFill>
            <w14:solidFill>
              <w14:schemeClr w14:val="tx1"/>
            </w14:solidFill>
          </w14:textFill>
        </w:rPr>
        <w:t>小时，空间分辨率不低于</w:t>
      </w:r>
      <w:r>
        <w:rPr>
          <w:rFonts w:eastAsia="仿宋_GB2312" w:cs="Times New Roman"/>
          <w:color w:val="000000" w:themeColor="text1"/>
          <w:sz w:val="32"/>
          <w:szCs w:val="32"/>
          <w14:textFill>
            <w14:solidFill>
              <w14:schemeClr w14:val="tx1"/>
            </w14:solidFill>
          </w14:textFill>
        </w:rPr>
        <w:t>3</w:t>
      </w:r>
      <w:r>
        <w:rPr>
          <w:rFonts w:hint="eastAsia" w:eastAsia="仿宋_GB2312" w:cs="Times New Roman"/>
          <w:color w:val="000000" w:themeColor="text1"/>
          <w:sz w:val="32"/>
          <w:szCs w:val="32"/>
          <w14:textFill>
            <w14:solidFill>
              <w14:schemeClr w14:val="tx1"/>
            </w14:solidFill>
          </w14:textFill>
        </w:rPr>
        <w:t>公里，并示范应用；建立花粉浓度与过敏人群暴露－反应关系，阐明</w:t>
      </w:r>
      <w:r>
        <w:rPr>
          <w:rFonts w:eastAsia="仿宋_GB2312" w:cs="Times New Roman"/>
          <w:color w:val="000000" w:themeColor="text1"/>
          <w:sz w:val="32"/>
          <w:szCs w:val="32"/>
          <w14:textFill>
            <w14:solidFill>
              <w14:schemeClr w14:val="tx1"/>
            </w14:solidFill>
          </w14:textFill>
        </w:rPr>
        <w:t>2</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3</w:t>
      </w:r>
      <w:r>
        <w:rPr>
          <w:rFonts w:hint="eastAsia" w:eastAsia="仿宋_GB2312" w:cs="Times New Roman"/>
          <w:color w:val="000000" w:themeColor="text1"/>
          <w:sz w:val="32"/>
          <w:szCs w:val="32"/>
          <w14:textFill>
            <w14:solidFill>
              <w14:schemeClr w14:val="tx1"/>
            </w14:solidFill>
          </w14:textFill>
        </w:rPr>
        <w:t>类关键大气污染物和花粉协同致敏作用机理，形成技术报告</w:t>
      </w:r>
      <w:r>
        <w:rPr>
          <w:rFonts w:eastAsia="仿宋_GB2312" w:cs="Times New Roman"/>
          <w:color w:val="000000" w:themeColor="text1"/>
          <w:sz w:val="32"/>
          <w:szCs w:val="32"/>
          <w14:textFill>
            <w14:solidFill>
              <w14:schemeClr w14:val="tx1"/>
            </w14:solidFill>
          </w14:textFill>
        </w:rPr>
        <w:t>1</w:t>
      </w:r>
      <w:r>
        <w:rPr>
          <w:rFonts w:hint="eastAsia" w:eastAsia="仿宋_GB2312" w:cs="Times New Roman"/>
          <w:color w:val="000000" w:themeColor="text1"/>
          <w:sz w:val="32"/>
          <w:szCs w:val="32"/>
          <w14:textFill>
            <w14:solidFill>
              <w14:schemeClr w14:val="tx1"/>
            </w14:solidFill>
          </w14:textFill>
        </w:rPr>
        <w:t>份；部门业务化联合发布相关预报预警服务产品不低于</w:t>
      </w:r>
      <w:r>
        <w:rPr>
          <w:rFonts w:eastAsia="仿宋_GB2312" w:cs="Times New Roman"/>
          <w:color w:val="000000" w:themeColor="text1"/>
          <w:sz w:val="32"/>
          <w:szCs w:val="32"/>
          <w14:textFill>
            <w14:solidFill>
              <w14:schemeClr w14:val="tx1"/>
            </w14:solidFill>
          </w14:textFill>
        </w:rPr>
        <w:t>5</w:t>
      </w:r>
      <w:r>
        <w:rPr>
          <w:rFonts w:hint="eastAsia" w:eastAsia="仿宋_GB2312" w:cs="Times New Roman"/>
          <w:color w:val="000000" w:themeColor="text1"/>
          <w:sz w:val="32"/>
          <w:szCs w:val="32"/>
          <w14:textFill>
            <w14:solidFill>
              <w14:schemeClr w14:val="tx1"/>
            </w14:solidFill>
          </w14:textFill>
        </w:rPr>
        <w:t>种，服务覆盖率达</w:t>
      </w:r>
      <w:r>
        <w:rPr>
          <w:rFonts w:eastAsia="仿宋_GB2312" w:cs="Times New Roman"/>
          <w:color w:val="000000" w:themeColor="text1"/>
          <w:sz w:val="32"/>
          <w:szCs w:val="32"/>
          <w14:textFill>
            <w14:solidFill>
              <w14:schemeClr w14:val="tx1"/>
            </w14:solidFill>
          </w14:textFill>
        </w:rPr>
        <w:t>90%</w:t>
      </w:r>
      <w:r>
        <w:rPr>
          <w:rFonts w:hint="eastAsia" w:eastAsia="仿宋_GB2312" w:cs="Times New Roman"/>
          <w:color w:val="000000" w:themeColor="text1"/>
          <w:sz w:val="32"/>
          <w:szCs w:val="32"/>
          <w14:textFill>
            <w14:solidFill>
              <w14:schemeClr w14:val="tx1"/>
            </w14:solidFill>
          </w14:textFill>
        </w:rPr>
        <w:t>以上；形成花粉浓度监测、过敏性疾病精准防控技术指南或地方标准</w:t>
      </w:r>
      <w:r>
        <w:rPr>
          <w:rFonts w:eastAsia="仿宋_GB2312" w:cs="Times New Roman"/>
          <w:color w:val="000000" w:themeColor="text1"/>
          <w:sz w:val="32"/>
          <w:szCs w:val="32"/>
          <w14:textFill>
            <w14:solidFill>
              <w14:schemeClr w14:val="tx1"/>
            </w14:solidFill>
          </w14:textFill>
        </w:rPr>
        <w:t>2</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3</w:t>
      </w:r>
      <w:r>
        <w:rPr>
          <w:rFonts w:hint="eastAsia" w:eastAsia="仿宋_GB2312" w:cs="Times New Roman"/>
          <w:color w:val="000000" w:themeColor="text1"/>
          <w:sz w:val="32"/>
          <w:szCs w:val="32"/>
          <w14:textFill>
            <w14:solidFill>
              <w14:schemeClr w14:val="tx1"/>
            </w14:solidFill>
          </w14:textFill>
        </w:rPr>
        <w:t>项；在内蒙古典型区域开展花粉过敏风险管理技术体系多层次示范应用，并提交政策建议</w:t>
      </w:r>
      <w:r>
        <w:rPr>
          <w:rFonts w:eastAsia="仿宋_GB2312" w:cs="Times New Roman"/>
          <w:color w:val="000000" w:themeColor="text1"/>
          <w:sz w:val="32"/>
          <w:szCs w:val="32"/>
          <w14:textFill>
            <w14:solidFill>
              <w14:schemeClr w14:val="tx1"/>
            </w14:solidFill>
          </w14:textFill>
        </w:rPr>
        <w:t>1</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2</w:t>
      </w:r>
      <w:r>
        <w:rPr>
          <w:rFonts w:hint="eastAsia" w:eastAsia="仿宋_GB2312" w:cs="Times New Roman"/>
          <w:color w:val="000000" w:themeColor="text1"/>
          <w:sz w:val="32"/>
          <w:szCs w:val="32"/>
          <w14:textFill>
            <w14:solidFill>
              <w14:schemeClr w14:val="tx1"/>
            </w14:solidFill>
          </w14:textFill>
        </w:rPr>
        <w:t>项。</w:t>
      </w:r>
    </w:p>
    <w:bookmarkEnd w:id="3"/>
    <w:p>
      <w:pPr>
        <w:adjustRightInd w:val="0"/>
        <w:snapToGrid w:val="0"/>
        <w:spacing w:line="620" w:lineRule="exact"/>
        <w:ind w:firstLine="643"/>
        <w:outlineLvl w:val="2"/>
        <w:rPr>
          <w:rFonts w:hint="eastAsia" w:eastAsia="仿宋_GB2312" w:cs="Times New Roman"/>
          <w:color w:val="000000" w:themeColor="text1"/>
          <w:sz w:val="32"/>
          <w:szCs w:val="32"/>
          <w14:textFill>
            <w14:solidFill>
              <w14:schemeClr w14:val="tx1"/>
            </w14:solidFill>
          </w14:textFill>
        </w:rPr>
      </w:pPr>
      <w:r>
        <w:rPr>
          <w:rFonts w:hint="eastAsia" w:eastAsia="楷体" w:cs="Times New Roman"/>
          <w:b/>
          <w:bCs/>
          <w:color w:val="000000" w:themeColor="text1"/>
          <w:sz w:val="32"/>
          <w:szCs w:val="32"/>
          <w14:textFill>
            <w14:solidFill>
              <w14:schemeClr w14:val="tx1"/>
            </w14:solidFill>
          </w14:textFill>
        </w:rPr>
        <w:t>3</w:t>
      </w:r>
      <w:r>
        <w:rPr>
          <w:rFonts w:eastAsia="楷体" w:cs="Times New Roman"/>
          <w:b/>
          <w:bCs/>
          <w:color w:val="000000" w:themeColor="text1"/>
          <w:sz w:val="32"/>
          <w:szCs w:val="32"/>
          <w14:textFill>
            <w14:solidFill>
              <w14:schemeClr w14:val="tx1"/>
            </w14:solidFill>
          </w14:textFill>
        </w:rPr>
        <w:t>.</w:t>
      </w:r>
      <w:r>
        <w:rPr>
          <w:rFonts w:hint="eastAsia" w:eastAsia="楷体" w:cs="Times New Roman"/>
          <w:b/>
          <w:bCs/>
          <w:color w:val="000000" w:themeColor="text1"/>
          <w:sz w:val="32"/>
          <w:szCs w:val="32"/>
          <w14:textFill>
            <w14:solidFill>
              <w14:schemeClr w14:val="tx1"/>
            </w14:solidFill>
          </w14:textFill>
        </w:rPr>
        <w:t>实施期限：</w:t>
      </w:r>
      <w:r>
        <w:rPr>
          <w:rFonts w:eastAsia="仿宋_GB2312" w:cs="Times New Roman"/>
          <w:color w:val="000000" w:themeColor="text1"/>
          <w:sz w:val="32"/>
          <w:szCs w:val="32"/>
          <w14:textFill>
            <w14:solidFill>
              <w14:schemeClr w14:val="tx1"/>
            </w14:solidFill>
          </w14:textFill>
        </w:rPr>
        <w:t>3</w:t>
      </w:r>
      <w:r>
        <w:rPr>
          <w:rFonts w:hint="eastAsia" w:eastAsia="仿宋_GB2312" w:cs="Times New Roman"/>
          <w:color w:val="000000" w:themeColor="text1"/>
          <w:sz w:val="32"/>
          <w:szCs w:val="32"/>
          <w14:textFill>
            <w14:solidFill>
              <w14:schemeClr w14:val="tx1"/>
            </w14:solidFill>
          </w14:textFill>
        </w:rPr>
        <w:t>年</w:t>
      </w:r>
    </w:p>
    <w:p>
      <w:pPr>
        <w:adjustRightInd w:val="0"/>
        <w:snapToGrid w:val="0"/>
        <w:spacing w:line="620" w:lineRule="exact"/>
        <w:ind w:firstLine="643"/>
        <w:outlineLvl w:val="2"/>
        <w:rPr>
          <w:rFonts w:eastAsia="仿宋_GB2312" w:cs="Times New Roman"/>
          <w:color w:val="000000" w:themeColor="text1"/>
          <w:sz w:val="32"/>
          <w:szCs w:val="32"/>
          <w14:textFill>
            <w14:solidFill>
              <w14:schemeClr w14:val="tx1"/>
            </w14:solidFill>
          </w14:textFill>
        </w:rPr>
      </w:pPr>
      <w:r>
        <w:rPr>
          <w:rFonts w:hint="eastAsia" w:eastAsia="楷体" w:cs="Times New Roman"/>
          <w:b/>
          <w:bCs/>
          <w:color w:val="000000" w:themeColor="text1"/>
          <w:sz w:val="32"/>
          <w:szCs w:val="32"/>
          <w14:textFill>
            <w14:solidFill>
              <w14:schemeClr w14:val="tx1"/>
            </w14:solidFill>
          </w14:textFill>
        </w:rPr>
        <w:t>4.</w:t>
      </w:r>
      <w:r>
        <w:rPr>
          <w:rFonts w:hint="eastAsia" w:eastAsia="楷体" w:cs="Times New Roman"/>
          <w:b/>
          <w:bCs/>
          <w:color w:val="000000" w:themeColor="text1"/>
          <w:kern w:val="0"/>
          <w:sz w:val="32"/>
          <w:szCs w:val="32"/>
          <w14:textFill>
            <w14:solidFill>
              <w14:schemeClr w14:val="tx1"/>
            </w14:solidFill>
          </w14:textFill>
        </w:rPr>
        <w:t>拟支持资金额度：</w:t>
      </w:r>
      <w:r>
        <w:rPr>
          <w:rFonts w:hint="eastAsia" w:eastAsia="仿宋_GB2312" w:cs="Times New Roman"/>
          <w:kern w:val="0"/>
          <w:sz w:val="32"/>
          <w:szCs w:val="32"/>
        </w:rPr>
        <w:t>自治区本级科技专项资金</w:t>
      </w:r>
      <w:r>
        <w:rPr>
          <w:rFonts w:eastAsia="仿宋_GB2312" w:cs="Times New Roman"/>
          <w:kern w:val="0"/>
          <w:sz w:val="32"/>
          <w:szCs w:val="32"/>
        </w:rPr>
        <w:t>500</w:t>
      </w:r>
      <w:r>
        <w:rPr>
          <w:rFonts w:hint="eastAsia" w:eastAsia="仿宋_GB2312" w:cs="Times New Roman"/>
          <w:kern w:val="0"/>
          <w:sz w:val="32"/>
          <w:szCs w:val="32"/>
        </w:rPr>
        <w:t>万元。</w:t>
      </w:r>
    </w:p>
    <w:p>
      <w:pPr>
        <w:adjustRightInd w:val="0"/>
        <w:snapToGrid w:val="0"/>
        <w:spacing w:line="620" w:lineRule="exact"/>
        <w:ind w:firstLine="640"/>
        <w:rPr>
          <w:rFonts w:eastAsia="黑体" w:cs="Times New Roman"/>
          <w:color w:val="000000" w:themeColor="text1"/>
          <w:sz w:val="32"/>
          <w:szCs w:val="32"/>
          <w14:textFill>
            <w14:solidFill>
              <w14:schemeClr w14:val="tx1"/>
            </w14:solidFill>
          </w14:textFill>
        </w:rPr>
      </w:pPr>
      <w:r>
        <w:rPr>
          <w:rFonts w:hint="eastAsia" w:eastAsia="黑体" w:cs="Times New Roman"/>
          <w:color w:val="000000" w:themeColor="text1"/>
          <w:sz w:val="32"/>
          <w:szCs w:val="32"/>
          <w14:textFill>
            <w14:solidFill>
              <w14:schemeClr w14:val="tx1"/>
            </w14:solidFill>
          </w14:textFill>
        </w:rPr>
        <w:t>二、内蒙古地区花粉症诊治精准化体系构建与推广</w:t>
      </w:r>
    </w:p>
    <w:p>
      <w:pPr>
        <w:adjustRightInd w:val="0"/>
        <w:snapToGrid w:val="0"/>
        <w:spacing w:line="620" w:lineRule="exact"/>
        <w:ind w:firstLine="643"/>
        <w:rPr>
          <w:rFonts w:eastAsia="楷体" w:cs="Times New Roman"/>
          <w:b/>
          <w:bCs/>
          <w:color w:val="000000" w:themeColor="text1"/>
          <w:sz w:val="32"/>
          <w:szCs w:val="32"/>
          <w14:textFill>
            <w14:solidFill>
              <w14:schemeClr w14:val="tx1"/>
            </w14:solidFill>
          </w14:textFill>
        </w:rPr>
      </w:pPr>
      <w:bookmarkStart w:id="4" w:name="OLE_LINK2"/>
      <w:r>
        <w:rPr>
          <w:rFonts w:hint="eastAsia" w:eastAsia="楷体" w:cs="Times New Roman"/>
          <w:b/>
          <w:bCs/>
          <w:color w:val="000000" w:themeColor="text1"/>
          <w:sz w:val="32"/>
          <w:szCs w:val="32"/>
          <w14:textFill>
            <w14:solidFill>
              <w14:schemeClr w14:val="tx1"/>
            </w14:solidFill>
          </w14:textFill>
        </w:rPr>
        <w:t>1</w:t>
      </w:r>
      <w:r>
        <w:rPr>
          <w:rFonts w:eastAsia="楷体" w:cs="Times New Roman"/>
          <w:b/>
          <w:bCs/>
          <w:color w:val="000000" w:themeColor="text1"/>
          <w:sz w:val="32"/>
          <w:szCs w:val="32"/>
          <w14:textFill>
            <w14:solidFill>
              <w14:schemeClr w14:val="tx1"/>
            </w14:solidFill>
          </w14:textFill>
        </w:rPr>
        <w:t>.</w:t>
      </w:r>
      <w:r>
        <w:rPr>
          <w:rFonts w:hint="eastAsia" w:eastAsia="楷体" w:cs="Times New Roman"/>
          <w:b/>
          <w:bCs/>
          <w:color w:val="000000" w:themeColor="text1"/>
          <w:sz w:val="32"/>
          <w:szCs w:val="32"/>
          <w14:textFill>
            <w14:solidFill>
              <w14:schemeClr w14:val="tx1"/>
            </w14:solidFill>
          </w14:textFill>
        </w:rPr>
        <w:t>研究内容</w:t>
      </w:r>
    </w:p>
    <w:bookmarkEnd w:id="4"/>
    <w:p>
      <w:pPr>
        <w:adjustRightInd w:val="0"/>
        <w:snapToGrid w:val="0"/>
        <w:spacing w:line="620" w:lineRule="exact"/>
        <w:ind w:firstLine="640"/>
        <w:rPr>
          <w:rFonts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14:textFill>
            <w14:solidFill>
              <w14:schemeClr w14:val="tx1"/>
            </w14:solidFill>
          </w14:textFill>
        </w:rPr>
        <w:t>针对内蒙古地区花粉症聚集性高发，发病率逐年增加，并呈现年轻化趋势，重症患者占比较高等未被满足的临床诊治需求，拟通过大规模临床样本的转录组、蛋白组、代谢组和单细胞转录组等多组学测序技术筛选区域性季节性花粉症的诊疗新靶标，针对新靶标开展功能和机制的验证研究，并实现创新性检测技术或生物靶向药物的临床转化与应用；构建花粉症患者的研究队列和生物样本库，探索花粉症患者生物标记物的精准分型、疾病严重性和预后预测评价体系，形成基于评价体系的精准诊疗规范；充分利用民族医学（中医、蒙医）的辨证论治，形成花粉症的辨证分型，开展针对不同辩证分型方剂的开发与验证研究，形成民族医学诊疗方案的专家共识或推荐；推动跨学科、跨地区的花粉症高水平诊治平台的构建，形成分级诊疗顺畅转诊的服务体系模式，提升医疗服务的连续性和效率。</w:t>
      </w:r>
    </w:p>
    <w:p>
      <w:pPr>
        <w:adjustRightInd w:val="0"/>
        <w:snapToGrid w:val="0"/>
        <w:spacing w:line="620" w:lineRule="exact"/>
        <w:ind w:firstLine="643"/>
        <w:rPr>
          <w:rFonts w:eastAsia="楷体" w:cs="Times New Roman"/>
          <w:b/>
          <w:bCs/>
          <w:color w:val="000000" w:themeColor="text1"/>
          <w:sz w:val="32"/>
          <w:szCs w:val="32"/>
          <w14:textFill>
            <w14:solidFill>
              <w14:schemeClr w14:val="tx1"/>
            </w14:solidFill>
          </w14:textFill>
        </w:rPr>
      </w:pPr>
      <w:r>
        <w:rPr>
          <w:rFonts w:hint="eastAsia" w:eastAsia="楷体" w:cs="Times New Roman"/>
          <w:b/>
          <w:bCs/>
          <w:color w:val="000000" w:themeColor="text1"/>
          <w:sz w:val="32"/>
          <w:szCs w:val="32"/>
          <w14:textFill>
            <w14:solidFill>
              <w14:schemeClr w14:val="tx1"/>
            </w14:solidFill>
          </w14:textFill>
        </w:rPr>
        <w:t>2</w:t>
      </w:r>
      <w:r>
        <w:rPr>
          <w:rFonts w:eastAsia="楷体" w:cs="Times New Roman"/>
          <w:b/>
          <w:bCs/>
          <w:color w:val="000000" w:themeColor="text1"/>
          <w:sz w:val="32"/>
          <w:szCs w:val="32"/>
          <w14:textFill>
            <w14:solidFill>
              <w14:schemeClr w14:val="tx1"/>
            </w14:solidFill>
          </w14:textFill>
        </w:rPr>
        <w:t>.</w:t>
      </w:r>
      <w:r>
        <w:rPr>
          <w:rFonts w:hint="eastAsia" w:eastAsia="楷体" w:cs="Times New Roman"/>
          <w:b/>
          <w:bCs/>
          <w:color w:val="000000" w:themeColor="text1"/>
          <w:sz w:val="32"/>
          <w:szCs w:val="32"/>
          <w14:textFill>
            <w14:solidFill>
              <w14:schemeClr w14:val="tx1"/>
            </w14:solidFill>
          </w14:textFill>
        </w:rPr>
        <w:t>考核指标</w:t>
      </w:r>
    </w:p>
    <w:p>
      <w:pPr>
        <w:adjustRightInd w:val="0"/>
        <w:snapToGrid w:val="0"/>
        <w:spacing w:line="620" w:lineRule="exact"/>
        <w:ind w:firstLine="640"/>
        <w:rPr>
          <w:rFonts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14:textFill>
            <w14:solidFill>
              <w14:schemeClr w14:val="tx1"/>
            </w14:solidFill>
          </w14:textFill>
        </w:rPr>
        <w:t>研发创新型标记物或生物靶向治疗技术</w:t>
      </w:r>
      <w:r>
        <w:rPr>
          <w:rFonts w:eastAsia="仿宋_GB2312" w:cs="Times New Roman"/>
          <w:color w:val="000000" w:themeColor="text1"/>
          <w:sz w:val="32"/>
          <w:szCs w:val="32"/>
          <w14:textFill>
            <w14:solidFill>
              <w14:schemeClr w14:val="tx1"/>
            </w14:solidFill>
          </w14:textFill>
        </w:rPr>
        <w:t>2</w:t>
      </w:r>
      <w:r>
        <w:rPr>
          <w:rFonts w:hint="eastAsia" w:eastAsia="仿宋_GB2312" w:cs="Times New Roman"/>
          <w:color w:val="000000" w:themeColor="text1"/>
          <w:sz w:val="32"/>
          <w:szCs w:val="32"/>
          <w14:textFill>
            <w14:solidFill>
              <w14:schemeClr w14:val="tx1"/>
            </w14:solidFill>
          </w14:textFill>
        </w:rPr>
        <w:t>项及以上，并实现转化；</w:t>
      </w:r>
      <w:bookmarkStart w:id="5" w:name="OLE_LINK11"/>
      <w:bookmarkStart w:id="6" w:name="OLE_LINK12"/>
      <w:r>
        <w:rPr>
          <w:rFonts w:hint="eastAsia" w:eastAsia="仿宋_GB2312" w:cs="Times New Roman"/>
          <w:color w:val="000000" w:themeColor="text1"/>
          <w:sz w:val="32"/>
          <w:szCs w:val="32"/>
          <w14:textFill>
            <w14:solidFill>
              <w14:schemeClr w14:val="tx1"/>
            </w14:solidFill>
          </w14:textFill>
        </w:rPr>
        <w:t>建立基于花粉症患者生物标记物的精准分型、疾病严重性和预后风险因素的精准诊疗规范</w:t>
      </w:r>
      <w:r>
        <w:rPr>
          <w:rFonts w:eastAsia="仿宋_GB2312" w:cs="Times New Roman"/>
          <w:color w:val="000000" w:themeColor="text1"/>
          <w:sz w:val="32"/>
          <w:szCs w:val="32"/>
          <w14:textFill>
            <w14:solidFill>
              <w14:schemeClr w14:val="tx1"/>
            </w14:solidFill>
          </w14:textFill>
        </w:rPr>
        <w:t>1</w:t>
      </w:r>
      <w:r>
        <w:rPr>
          <w:rFonts w:hint="eastAsia" w:eastAsia="仿宋_GB2312" w:cs="Times New Roman"/>
          <w:color w:val="000000" w:themeColor="text1"/>
          <w:sz w:val="32"/>
          <w:szCs w:val="32"/>
          <w14:textFill>
            <w14:solidFill>
              <w14:schemeClr w14:val="tx1"/>
            </w14:solidFill>
          </w14:textFill>
        </w:rPr>
        <w:t>套，并应用推广</w:t>
      </w:r>
      <w:bookmarkEnd w:id="5"/>
      <w:bookmarkEnd w:id="6"/>
      <w:r>
        <w:rPr>
          <w:rFonts w:hint="eastAsia" w:eastAsia="仿宋_GB2312" w:cs="Times New Roman"/>
          <w:color w:val="000000" w:themeColor="text1"/>
          <w:sz w:val="32"/>
          <w:szCs w:val="32"/>
          <w14:textFill>
            <w14:solidFill>
              <w14:schemeClr w14:val="tx1"/>
            </w14:solidFill>
          </w14:textFill>
        </w:rPr>
        <w:t>；实现疾病知晓率提升</w:t>
      </w:r>
      <w:r>
        <w:rPr>
          <w:rFonts w:eastAsia="仿宋_GB2312" w:cs="Times New Roman"/>
          <w:color w:val="000000" w:themeColor="text1"/>
          <w:sz w:val="32"/>
          <w:szCs w:val="32"/>
          <w14:textFill>
            <w14:solidFill>
              <w14:schemeClr w14:val="tx1"/>
            </w14:solidFill>
          </w14:textFill>
        </w:rPr>
        <w:t>10%</w:t>
      </w:r>
      <w:r>
        <w:rPr>
          <w:rFonts w:hint="eastAsia" w:eastAsia="仿宋_GB2312" w:cs="Times New Roman"/>
          <w:color w:val="000000" w:themeColor="text1"/>
          <w:sz w:val="32"/>
          <w:szCs w:val="32"/>
          <w14:textFill>
            <w14:solidFill>
              <w14:schemeClr w14:val="tx1"/>
            </w14:solidFill>
          </w14:textFill>
        </w:rPr>
        <w:t>、对因治疗有效率提升</w:t>
      </w:r>
      <w:r>
        <w:rPr>
          <w:rFonts w:eastAsia="仿宋_GB2312" w:cs="Times New Roman"/>
          <w:color w:val="000000" w:themeColor="text1"/>
          <w:sz w:val="32"/>
          <w:szCs w:val="32"/>
          <w14:textFill>
            <w14:solidFill>
              <w14:schemeClr w14:val="tx1"/>
            </w14:solidFill>
          </w14:textFill>
        </w:rPr>
        <w:t>10%</w:t>
      </w:r>
      <w:r>
        <w:rPr>
          <w:rFonts w:hint="eastAsia" w:eastAsia="仿宋_GB2312" w:cs="Times New Roman"/>
          <w:color w:val="000000" w:themeColor="text1"/>
          <w:sz w:val="32"/>
          <w:szCs w:val="32"/>
          <w14:textFill>
            <w14:solidFill>
              <w14:schemeClr w14:val="tx1"/>
            </w14:solidFill>
          </w14:textFill>
        </w:rPr>
        <w:t>、疗程缩短</w:t>
      </w:r>
      <w:r>
        <w:rPr>
          <w:rFonts w:eastAsia="仿宋_GB2312" w:cs="Times New Roman"/>
          <w:color w:val="000000" w:themeColor="text1"/>
          <w:sz w:val="32"/>
          <w:szCs w:val="32"/>
          <w14:textFill>
            <w14:solidFill>
              <w14:schemeClr w14:val="tx1"/>
            </w14:solidFill>
          </w14:textFill>
        </w:rPr>
        <w:t>10%</w:t>
      </w:r>
      <w:r>
        <w:rPr>
          <w:rFonts w:hint="eastAsia" w:eastAsia="仿宋_GB2312" w:cs="Times New Roman"/>
          <w:color w:val="000000" w:themeColor="text1"/>
          <w:sz w:val="32"/>
          <w:szCs w:val="32"/>
          <w14:textFill>
            <w14:solidFill>
              <w14:schemeClr w14:val="tx1"/>
            </w14:solidFill>
          </w14:textFill>
        </w:rPr>
        <w:t>；制定行业指南或形成专家共识</w:t>
      </w:r>
      <w:r>
        <w:rPr>
          <w:rFonts w:eastAsia="仿宋_GB2312" w:cs="Times New Roman"/>
          <w:color w:val="000000" w:themeColor="text1"/>
          <w:sz w:val="32"/>
          <w:szCs w:val="32"/>
          <w14:textFill>
            <w14:solidFill>
              <w14:schemeClr w14:val="tx1"/>
            </w14:solidFill>
          </w14:textFill>
        </w:rPr>
        <w:t>2</w:t>
      </w:r>
      <w:r>
        <w:rPr>
          <w:rFonts w:hint="eastAsia" w:eastAsia="仿宋_GB2312" w:cs="Times New Roman"/>
          <w:color w:val="000000" w:themeColor="text1"/>
          <w:sz w:val="32"/>
          <w:szCs w:val="32"/>
          <w14:textFill>
            <w14:solidFill>
              <w14:schemeClr w14:val="tx1"/>
            </w14:solidFill>
          </w14:textFill>
        </w:rPr>
        <w:t>项或以上；向行业管理部门提交专病发展现状白皮书</w:t>
      </w:r>
      <w:r>
        <w:rPr>
          <w:rFonts w:eastAsia="仿宋_GB2312" w:cs="Times New Roman"/>
          <w:color w:val="000000" w:themeColor="text1"/>
          <w:sz w:val="32"/>
          <w:szCs w:val="32"/>
          <w14:textFill>
            <w14:solidFill>
              <w14:schemeClr w14:val="tx1"/>
            </w14:solidFill>
          </w14:textFill>
        </w:rPr>
        <w:t>1</w:t>
      </w:r>
      <w:r>
        <w:rPr>
          <w:rFonts w:hint="eastAsia" w:eastAsia="仿宋_GB2312" w:cs="Times New Roman"/>
          <w:color w:val="000000" w:themeColor="text1"/>
          <w:sz w:val="32"/>
          <w:szCs w:val="32"/>
          <w14:textFill>
            <w14:solidFill>
              <w14:schemeClr w14:val="tx1"/>
            </w14:solidFill>
          </w14:textFill>
        </w:rPr>
        <w:t>部；建立区域跨学科诊断治疗、双向转诊、医防融合示范中心</w:t>
      </w:r>
      <w:r>
        <w:rPr>
          <w:rFonts w:eastAsia="仿宋_GB2312" w:cs="Times New Roman"/>
          <w:color w:val="000000" w:themeColor="text1"/>
          <w:sz w:val="32"/>
          <w:szCs w:val="32"/>
          <w14:textFill>
            <w14:solidFill>
              <w14:schemeClr w14:val="tx1"/>
            </w14:solidFill>
          </w14:textFill>
        </w:rPr>
        <w:t>1</w:t>
      </w:r>
      <w:r>
        <w:rPr>
          <w:rFonts w:hint="eastAsia" w:eastAsia="仿宋_GB2312" w:cs="Times New Roman"/>
          <w:color w:val="000000" w:themeColor="text1"/>
          <w:sz w:val="32"/>
          <w:szCs w:val="32"/>
          <w14:textFill>
            <w14:solidFill>
              <w14:schemeClr w14:val="tx1"/>
            </w14:solidFill>
          </w14:textFill>
        </w:rPr>
        <w:t>个；建立区域性规范诊疗中心</w:t>
      </w:r>
      <w:r>
        <w:rPr>
          <w:rFonts w:eastAsia="仿宋_GB2312" w:cs="Times New Roman"/>
          <w:color w:val="000000" w:themeColor="text1"/>
          <w:sz w:val="32"/>
          <w:szCs w:val="32"/>
          <w14:textFill>
            <w14:solidFill>
              <w14:schemeClr w14:val="tx1"/>
            </w14:solidFill>
          </w14:textFill>
        </w:rPr>
        <w:t>10</w:t>
      </w:r>
      <w:r>
        <w:rPr>
          <w:rFonts w:hint="eastAsia" w:eastAsia="仿宋_GB2312" w:cs="Times New Roman"/>
          <w:color w:val="000000" w:themeColor="text1"/>
          <w:sz w:val="32"/>
          <w:szCs w:val="32"/>
          <w14:textFill>
            <w14:solidFill>
              <w14:schemeClr w14:val="tx1"/>
            </w14:solidFill>
          </w14:textFill>
        </w:rPr>
        <w:t>个。</w:t>
      </w:r>
    </w:p>
    <w:p>
      <w:pPr>
        <w:adjustRightInd w:val="0"/>
        <w:snapToGrid w:val="0"/>
        <w:spacing w:line="620" w:lineRule="exact"/>
        <w:ind w:firstLine="643"/>
        <w:outlineLvl w:val="2"/>
        <w:rPr>
          <w:rFonts w:hint="eastAsia" w:eastAsia="仿宋_GB2312" w:cs="Times New Roman"/>
          <w:color w:val="000000" w:themeColor="text1"/>
          <w:sz w:val="32"/>
          <w:szCs w:val="32"/>
          <w14:textFill>
            <w14:solidFill>
              <w14:schemeClr w14:val="tx1"/>
            </w14:solidFill>
          </w14:textFill>
        </w:rPr>
      </w:pPr>
      <w:r>
        <w:rPr>
          <w:rFonts w:hint="eastAsia" w:eastAsia="楷体" w:cs="Times New Roman"/>
          <w:b/>
          <w:bCs/>
          <w:color w:val="000000" w:themeColor="text1"/>
          <w:sz w:val="32"/>
          <w:szCs w:val="32"/>
          <w14:textFill>
            <w14:solidFill>
              <w14:schemeClr w14:val="tx1"/>
            </w14:solidFill>
          </w14:textFill>
        </w:rPr>
        <w:t>3</w:t>
      </w:r>
      <w:r>
        <w:rPr>
          <w:rFonts w:eastAsia="楷体" w:cs="Times New Roman"/>
          <w:b/>
          <w:bCs/>
          <w:color w:val="000000" w:themeColor="text1"/>
          <w:sz w:val="32"/>
          <w:szCs w:val="32"/>
          <w14:textFill>
            <w14:solidFill>
              <w14:schemeClr w14:val="tx1"/>
            </w14:solidFill>
          </w14:textFill>
        </w:rPr>
        <w:t>.</w:t>
      </w:r>
      <w:r>
        <w:rPr>
          <w:rFonts w:hint="eastAsia" w:eastAsia="楷体" w:cs="Times New Roman"/>
          <w:b/>
          <w:bCs/>
          <w:color w:val="000000" w:themeColor="text1"/>
          <w:sz w:val="32"/>
          <w:szCs w:val="32"/>
          <w14:textFill>
            <w14:solidFill>
              <w14:schemeClr w14:val="tx1"/>
            </w14:solidFill>
          </w14:textFill>
        </w:rPr>
        <w:t>实施期限：</w:t>
      </w:r>
      <w:r>
        <w:rPr>
          <w:rFonts w:eastAsia="仿宋_GB2312" w:cs="Times New Roman"/>
          <w:color w:val="000000" w:themeColor="text1"/>
          <w:sz w:val="32"/>
          <w:szCs w:val="32"/>
          <w14:textFill>
            <w14:solidFill>
              <w14:schemeClr w14:val="tx1"/>
            </w14:solidFill>
          </w14:textFill>
        </w:rPr>
        <w:t>3</w:t>
      </w:r>
      <w:r>
        <w:rPr>
          <w:rFonts w:hint="eastAsia" w:eastAsia="仿宋_GB2312" w:cs="Times New Roman"/>
          <w:color w:val="000000" w:themeColor="text1"/>
          <w:sz w:val="32"/>
          <w:szCs w:val="32"/>
          <w14:textFill>
            <w14:solidFill>
              <w14:schemeClr w14:val="tx1"/>
            </w14:solidFill>
          </w14:textFill>
        </w:rPr>
        <w:t>年</w:t>
      </w:r>
    </w:p>
    <w:p>
      <w:pPr>
        <w:adjustRightInd w:val="0"/>
        <w:snapToGrid w:val="0"/>
        <w:spacing w:line="620" w:lineRule="exact"/>
        <w:ind w:firstLine="643"/>
        <w:rPr>
          <w:rFonts w:eastAsia="仿宋_GB2312" w:cs="Times New Roman"/>
          <w:color w:val="000000" w:themeColor="text1"/>
          <w:sz w:val="32"/>
          <w:szCs w:val="32"/>
          <w14:textFill>
            <w14:solidFill>
              <w14:schemeClr w14:val="tx1"/>
            </w14:solidFill>
          </w14:textFill>
        </w:rPr>
      </w:pPr>
      <w:r>
        <w:rPr>
          <w:rFonts w:hint="eastAsia" w:eastAsia="楷体" w:cs="Times New Roman"/>
          <w:b/>
          <w:bCs/>
          <w:color w:val="000000" w:themeColor="text1"/>
          <w:sz w:val="32"/>
          <w:szCs w:val="32"/>
          <w14:textFill>
            <w14:solidFill>
              <w14:schemeClr w14:val="tx1"/>
            </w14:solidFill>
          </w14:textFill>
        </w:rPr>
        <w:t>4.</w:t>
      </w:r>
      <w:r>
        <w:rPr>
          <w:rFonts w:hint="eastAsia" w:eastAsia="楷体" w:cs="Times New Roman"/>
          <w:b/>
          <w:bCs/>
          <w:color w:val="000000" w:themeColor="text1"/>
          <w:kern w:val="0"/>
          <w:sz w:val="32"/>
          <w:szCs w:val="32"/>
          <w14:textFill>
            <w14:solidFill>
              <w14:schemeClr w14:val="tx1"/>
            </w14:solidFill>
          </w14:textFill>
        </w:rPr>
        <w:t>拟支持资金额度：</w:t>
      </w:r>
      <w:r>
        <w:rPr>
          <w:rFonts w:hint="eastAsia" w:eastAsia="仿宋_GB2312" w:cs="Times New Roman"/>
          <w:kern w:val="0"/>
          <w:sz w:val="32"/>
          <w:szCs w:val="32"/>
        </w:rPr>
        <w:t>自治区本级科技专项资金</w:t>
      </w:r>
      <w:r>
        <w:rPr>
          <w:rFonts w:eastAsia="仿宋_GB2312" w:cs="Times New Roman"/>
          <w:kern w:val="0"/>
          <w:sz w:val="32"/>
          <w:szCs w:val="32"/>
        </w:rPr>
        <w:t>800</w:t>
      </w:r>
      <w:r>
        <w:rPr>
          <w:rFonts w:hint="eastAsia" w:eastAsia="仿宋_GB2312" w:cs="Times New Roman"/>
          <w:kern w:val="0"/>
          <w:sz w:val="32"/>
          <w:szCs w:val="32"/>
        </w:rPr>
        <w:t>万元。</w:t>
      </w:r>
    </w:p>
    <w:sectPr>
      <w:headerReference r:id="rId7" w:type="first"/>
      <w:footerReference r:id="rId10" w:type="first"/>
      <w:headerReference r:id="rId5" w:type="default"/>
      <w:footerReference r:id="rId8" w:type="default"/>
      <w:headerReference r:id="rId6" w:type="even"/>
      <w:footerReference r:id="rId9" w:type="even"/>
      <w:pgSz w:w="11906" w:h="16838"/>
      <w:pgMar w:top="1553" w:right="1519" w:bottom="1497" w:left="1519" w:header="851" w:footer="99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015935"/>
    </w:sdtPr>
    <w:sdtContent>
      <w:p>
        <w:pPr>
          <w:pStyle w:val="4"/>
          <w:ind w:firstLine="360"/>
          <w:jc w:val="center"/>
        </w:pPr>
        <w:r>
          <w:fldChar w:fldCharType="begin"/>
        </w:r>
        <w:r>
          <w:instrText xml:space="preserve">PAGE   \* MERGEFORMAT</w:instrText>
        </w:r>
        <w:r>
          <w:fldChar w:fldCharType="separate"/>
        </w:r>
        <w:r>
          <w:rPr>
            <w:lang w:val="zh-CN"/>
          </w:rPr>
          <w:t>3</w:t>
        </w:r>
        <w:r>
          <w:fldChar w:fldCharType="end"/>
        </w:r>
      </w:p>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xY2EwM2EyZGQ1YmQyY2Y2MTZjMzllOGUzZGVmMGYifQ=="/>
  </w:docVars>
  <w:rsids>
    <w:rsidRoot w:val="4CAD6A4E"/>
    <w:rsid w:val="0000737E"/>
    <w:rsid w:val="00010F07"/>
    <w:rsid w:val="00011927"/>
    <w:rsid w:val="00012C64"/>
    <w:rsid w:val="000178CE"/>
    <w:rsid w:val="000348F2"/>
    <w:rsid w:val="000361C9"/>
    <w:rsid w:val="000409B6"/>
    <w:rsid w:val="0004661B"/>
    <w:rsid w:val="00050406"/>
    <w:rsid w:val="00055FBF"/>
    <w:rsid w:val="000663E0"/>
    <w:rsid w:val="00091DA0"/>
    <w:rsid w:val="0009679C"/>
    <w:rsid w:val="00097128"/>
    <w:rsid w:val="000A2E7F"/>
    <w:rsid w:val="000A5768"/>
    <w:rsid w:val="000A61D7"/>
    <w:rsid w:val="000A6B24"/>
    <w:rsid w:val="000E0BA7"/>
    <w:rsid w:val="000F5BFD"/>
    <w:rsid w:val="0010758D"/>
    <w:rsid w:val="001319FE"/>
    <w:rsid w:val="0013279C"/>
    <w:rsid w:val="001371D1"/>
    <w:rsid w:val="00157F33"/>
    <w:rsid w:val="0016133E"/>
    <w:rsid w:val="00162BAF"/>
    <w:rsid w:val="00165AD9"/>
    <w:rsid w:val="0016662B"/>
    <w:rsid w:val="00173EE4"/>
    <w:rsid w:val="001757A5"/>
    <w:rsid w:val="001762F8"/>
    <w:rsid w:val="00177EBE"/>
    <w:rsid w:val="001809B6"/>
    <w:rsid w:val="00185718"/>
    <w:rsid w:val="00187CC3"/>
    <w:rsid w:val="001915E4"/>
    <w:rsid w:val="001A4B80"/>
    <w:rsid w:val="001A514C"/>
    <w:rsid w:val="001B18FD"/>
    <w:rsid w:val="001B5F6E"/>
    <w:rsid w:val="001C307D"/>
    <w:rsid w:val="001D74E3"/>
    <w:rsid w:val="001E0C1E"/>
    <w:rsid w:val="001E2670"/>
    <w:rsid w:val="001E348F"/>
    <w:rsid w:val="00221D3A"/>
    <w:rsid w:val="00222255"/>
    <w:rsid w:val="00234256"/>
    <w:rsid w:val="00235ECD"/>
    <w:rsid w:val="002375BC"/>
    <w:rsid w:val="00260FF3"/>
    <w:rsid w:val="00266F23"/>
    <w:rsid w:val="0027375B"/>
    <w:rsid w:val="0028693C"/>
    <w:rsid w:val="00291FF2"/>
    <w:rsid w:val="00295934"/>
    <w:rsid w:val="002A3867"/>
    <w:rsid w:val="002B466F"/>
    <w:rsid w:val="002C49D4"/>
    <w:rsid w:val="002D1B38"/>
    <w:rsid w:val="002F0CA7"/>
    <w:rsid w:val="00301795"/>
    <w:rsid w:val="00310C68"/>
    <w:rsid w:val="00313E43"/>
    <w:rsid w:val="00324FCD"/>
    <w:rsid w:val="00332842"/>
    <w:rsid w:val="00333EC6"/>
    <w:rsid w:val="00350B86"/>
    <w:rsid w:val="003512DB"/>
    <w:rsid w:val="0036024F"/>
    <w:rsid w:val="0038700B"/>
    <w:rsid w:val="003907B5"/>
    <w:rsid w:val="00395F47"/>
    <w:rsid w:val="003C289F"/>
    <w:rsid w:val="003D125A"/>
    <w:rsid w:val="003E000D"/>
    <w:rsid w:val="003E1AE1"/>
    <w:rsid w:val="003E460C"/>
    <w:rsid w:val="003E7660"/>
    <w:rsid w:val="003F2944"/>
    <w:rsid w:val="003F45D1"/>
    <w:rsid w:val="004409A3"/>
    <w:rsid w:val="00440C00"/>
    <w:rsid w:val="00455303"/>
    <w:rsid w:val="00462DF5"/>
    <w:rsid w:val="0046743D"/>
    <w:rsid w:val="00470940"/>
    <w:rsid w:val="00475A49"/>
    <w:rsid w:val="00485249"/>
    <w:rsid w:val="00491130"/>
    <w:rsid w:val="004A2ED6"/>
    <w:rsid w:val="004B13DF"/>
    <w:rsid w:val="004B7645"/>
    <w:rsid w:val="004C2D13"/>
    <w:rsid w:val="004D0630"/>
    <w:rsid w:val="004D39F3"/>
    <w:rsid w:val="004E2873"/>
    <w:rsid w:val="004E4883"/>
    <w:rsid w:val="004F2421"/>
    <w:rsid w:val="004F439B"/>
    <w:rsid w:val="0050475D"/>
    <w:rsid w:val="00507C9F"/>
    <w:rsid w:val="00510A9D"/>
    <w:rsid w:val="00514D55"/>
    <w:rsid w:val="0052000E"/>
    <w:rsid w:val="00522697"/>
    <w:rsid w:val="00524CC1"/>
    <w:rsid w:val="00530962"/>
    <w:rsid w:val="005350A5"/>
    <w:rsid w:val="00541693"/>
    <w:rsid w:val="005509C3"/>
    <w:rsid w:val="005523D1"/>
    <w:rsid w:val="005538E9"/>
    <w:rsid w:val="0056338A"/>
    <w:rsid w:val="005863BE"/>
    <w:rsid w:val="00587E7C"/>
    <w:rsid w:val="0059097D"/>
    <w:rsid w:val="00594089"/>
    <w:rsid w:val="005A01C2"/>
    <w:rsid w:val="005B3398"/>
    <w:rsid w:val="005D59FB"/>
    <w:rsid w:val="005D6024"/>
    <w:rsid w:val="005E2BC5"/>
    <w:rsid w:val="005F186E"/>
    <w:rsid w:val="005F1C5C"/>
    <w:rsid w:val="005F3B42"/>
    <w:rsid w:val="006016C1"/>
    <w:rsid w:val="00605930"/>
    <w:rsid w:val="0061000E"/>
    <w:rsid w:val="006106FA"/>
    <w:rsid w:val="00613067"/>
    <w:rsid w:val="00624DFE"/>
    <w:rsid w:val="0062563D"/>
    <w:rsid w:val="00633E73"/>
    <w:rsid w:val="0063566A"/>
    <w:rsid w:val="00647EFA"/>
    <w:rsid w:val="00651650"/>
    <w:rsid w:val="006648C0"/>
    <w:rsid w:val="00665012"/>
    <w:rsid w:val="00666117"/>
    <w:rsid w:val="00666A40"/>
    <w:rsid w:val="00670589"/>
    <w:rsid w:val="00677154"/>
    <w:rsid w:val="00685E9A"/>
    <w:rsid w:val="0069061A"/>
    <w:rsid w:val="006C7B9B"/>
    <w:rsid w:val="006E1D66"/>
    <w:rsid w:val="006E2ED9"/>
    <w:rsid w:val="006E413D"/>
    <w:rsid w:val="006F1E2B"/>
    <w:rsid w:val="006F2D25"/>
    <w:rsid w:val="0070396A"/>
    <w:rsid w:val="007124A9"/>
    <w:rsid w:val="00713775"/>
    <w:rsid w:val="007331E9"/>
    <w:rsid w:val="00733C08"/>
    <w:rsid w:val="00737738"/>
    <w:rsid w:val="007378B7"/>
    <w:rsid w:val="00753FFE"/>
    <w:rsid w:val="00754921"/>
    <w:rsid w:val="00761867"/>
    <w:rsid w:val="00762625"/>
    <w:rsid w:val="007850E6"/>
    <w:rsid w:val="00786BE5"/>
    <w:rsid w:val="00791625"/>
    <w:rsid w:val="00796BD0"/>
    <w:rsid w:val="007A14CD"/>
    <w:rsid w:val="007B52DD"/>
    <w:rsid w:val="007B66D5"/>
    <w:rsid w:val="007C0CAB"/>
    <w:rsid w:val="007D3770"/>
    <w:rsid w:val="007F7EE6"/>
    <w:rsid w:val="00802DF0"/>
    <w:rsid w:val="00803405"/>
    <w:rsid w:val="00804C6E"/>
    <w:rsid w:val="008336F6"/>
    <w:rsid w:val="008408EE"/>
    <w:rsid w:val="00844656"/>
    <w:rsid w:val="008667FD"/>
    <w:rsid w:val="00883AF6"/>
    <w:rsid w:val="00883B9C"/>
    <w:rsid w:val="00886F3D"/>
    <w:rsid w:val="008901DA"/>
    <w:rsid w:val="00897A5A"/>
    <w:rsid w:val="008A36F6"/>
    <w:rsid w:val="008A4535"/>
    <w:rsid w:val="008B0699"/>
    <w:rsid w:val="008B16C8"/>
    <w:rsid w:val="008B39D0"/>
    <w:rsid w:val="008B419A"/>
    <w:rsid w:val="008C1F54"/>
    <w:rsid w:val="008C42DB"/>
    <w:rsid w:val="008C501B"/>
    <w:rsid w:val="008D2038"/>
    <w:rsid w:val="008D2A3C"/>
    <w:rsid w:val="008D4C98"/>
    <w:rsid w:val="008D4D47"/>
    <w:rsid w:val="008E4579"/>
    <w:rsid w:val="008F12F0"/>
    <w:rsid w:val="008F2EFB"/>
    <w:rsid w:val="009024BE"/>
    <w:rsid w:val="00902592"/>
    <w:rsid w:val="00903F98"/>
    <w:rsid w:val="0090555A"/>
    <w:rsid w:val="00921378"/>
    <w:rsid w:val="0092574F"/>
    <w:rsid w:val="00931235"/>
    <w:rsid w:val="00944D2A"/>
    <w:rsid w:val="00970D1B"/>
    <w:rsid w:val="00985598"/>
    <w:rsid w:val="00987FAC"/>
    <w:rsid w:val="009913D9"/>
    <w:rsid w:val="00992E70"/>
    <w:rsid w:val="0099723F"/>
    <w:rsid w:val="009A0D79"/>
    <w:rsid w:val="009B1098"/>
    <w:rsid w:val="009C6C15"/>
    <w:rsid w:val="009D5802"/>
    <w:rsid w:val="009E6869"/>
    <w:rsid w:val="009F42BA"/>
    <w:rsid w:val="00A04F95"/>
    <w:rsid w:val="00A11360"/>
    <w:rsid w:val="00A12300"/>
    <w:rsid w:val="00A14A84"/>
    <w:rsid w:val="00A26A7F"/>
    <w:rsid w:val="00A320C2"/>
    <w:rsid w:val="00A34E34"/>
    <w:rsid w:val="00A41171"/>
    <w:rsid w:val="00A50DD7"/>
    <w:rsid w:val="00A6174B"/>
    <w:rsid w:val="00A624F3"/>
    <w:rsid w:val="00A7797C"/>
    <w:rsid w:val="00A8155E"/>
    <w:rsid w:val="00A84DA2"/>
    <w:rsid w:val="00AA2B66"/>
    <w:rsid w:val="00AA3EB4"/>
    <w:rsid w:val="00AC00FA"/>
    <w:rsid w:val="00AC7348"/>
    <w:rsid w:val="00AE38E9"/>
    <w:rsid w:val="00AF1D05"/>
    <w:rsid w:val="00AF255C"/>
    <w:rsid w:val="00AF461C"/>
    <w:rsid w:val="00B01B2B"/>
    <w:rsid w:val="00B33678"/>
    <w:rsid w:val="00B43467"/>
    <w:rsid w:val="00B45AEB"/>
    <w:rsid w:val="00B536CF"/>
    <w:rsid w:val="00B553F3"/>
    <w:rsid w:val="00B6466A"/>
    <w:rsid w:val="00B7694D"/>
    <w:rsid w:val="00B80A07"/>
    <w:rsid w:val="00B86972"/>
    <w:rsid w:val="00B91F71"/>
    <w:rsid w:val="00BB32A4"/>
    <w:rsid w:val="00BC1C81"/>
    <w:rsid w:val="00BC7C72"/>
    <w:rsid w:val="00BD5975"/>
    <w:rsid w:val="00BD7665"/>
    <w:rsid w:val="00BD7F63"/>
    <w:rsid w:val="00BE332C"/>
    <w:rsid w:val="00BE4CBF"/>
    <w:rsid w:val="00BE4DF2"/>
    <w:rsid w:val="00BF3834"/>
    <w:rsid w:val="00C01A04"/>
    <w:rsid w:val="00C2077F"/>
    <w:rsid w:val="00C226A7"/>
    <w:rsid w:val="00C4788C"/>
    <w:rsid w:val="00C5510E"/>
    <w:rsid w:val="00C70F20"/>
    <w:rsid w:val="00C7128F"/>
    <w:rsid w:val="00C75FFF"/>
    <w:rsid w:val="00C84AD9"/>
    <w:rsid w:val="00C91502"/>
    <w:rsid w:val="00C92AA4"/>
    <w:rsid w:val="00C975E9"/>
    <w:rsid w:val="00CA635F"/>
    <w:rsid w:val="00CB0983"/>
    <w:rsid w:val="00CB1B7D"/>
    <w:rsid w:val="00CC60D8"/>
    <w:rsid w:val="00CD4A99"/>
    <w:rsid w:val="00CE2B1F"/>
    <w:rsid w:val="00CF6AE8"/>
    <w:rsid w:val="00CF717A"/>
    <w:rsid w:val="00D043A8"/>
    <w:rsid w:val="00D0545E"/>
    <w:rsid w:val="00D11D49"/>
    <w:rsid w:val="00D20781"/>
    <w:rsid w:val="00D213AF"/>
    <w:rsid w:val="00D216D9"/>
    <w:rsid w:val="00D2403D"/>
    <w:rsid w:val="00D26FFD"/>
    <w:rsid w:val="00D31673"/>
    <w:rsid w:val="00D3372D"/>
    <w:rsid w:val="00D50D2E"/>
    <w:rsid w:val="00D57C53"/>
    <w:rsid w:val="00D62183"/>
    <w:rsid w:val="00D7436D"/>
    <w:rsid w:val="00D77095"/>
    <w:rsid w:val="00D836AD"/>
    <w:rsid w:val="00D903E1"/>
    <w:rsid w:val="00D91D5B"/>
    <w:rsid w:val="00DB1709"/>
    <w:rsid w:val="00DB3DFB"/>
    <w:rsid w:val="00DB6BEE"/>
    <w:rsid w:val="00DD4065"/>
    <w:rsid w:val="00DE06CE"/>
    <w:rsid w:val="00DE1502"/>
    <w:rsid w:val="00DE52DA"/>
    <w:rsid w:val="00E03B87"/>
    <w:rsid w:val="00E1145F"/>
    <w:rsid w:val="00E12D2A"/>
    <w:rsid w:val="00E12FA1"/>
    <w:rsid w:val="00E13EFD"/>
    <w:rsid w:val="00E242E5"/>
    <w:rsid w:val="00E41CD7"/>
    <w:rsid w:val="00E44371"/>
    <w:rsid w:val="00E56AEA"/>
    <w:rsid w:val="00E57291"/>
    <w:rsid w:val="00E657E8"/>
    <w:rsid w:val="00E77A0E"/>
    <w:rsid w:val="00E8178B"/>
    <w:rsid w:val="00E91AEF"/>
    <w:rsid w:val="00E94D59"/>
    <w:rsid w:val="00EB245A"/>
    <w:rsid w:val="00EB7896"/>
    <w:rsid w:val="00EB7DAE"/>
    <w:rsid w:val="00EC1FC3"/>
    <w:rsid w:val="00ED2E5B"/>
    <w:rsid w:val="00ED488F"/>
    <w:rsid w:val="00EE5AEB"/>
    <w:rsid w:val="00EE7A0D"/>
    <w:rsid w:val="00EF3F79"/>
    <w:rsid w:val="00EF5491"/>
    <w:rsid w:val="00F14B13"/>
    <w:rsid w:val="00F167A7"/>
    <w:rsid w:val="00F16CBE"/>
    <w:rsid w:val="00F2208F"/>
    <w:rsid w:val="00F269F7"/>
    <w:rsid w:val="00F45837"/>
    <w:rsid w:val="00F52386"/>
    <w:rsid w:val="00F525B5"/>
    <w:rsid w:val="00F6163F"/>
    <w:rsid w:val="00F67558"/>
    <w:rsid w:val="00F715E0"/>
    <w:rsid w:val="00F80ABC"/>
    <w:rsid w:val="00F911A3"/>
    <w:rsid w:val="00F954B1"/>
    <w:rsid w:val="00F977F0"/>
    <w:rsid w:val="00FB36A9"/>
    <w:rsid w:val="00FB65A6"/>
    <w:rsid w:val="00FB7F1C"/>
    <w:rsid w:val="00FC68FC"/>
    <w:rsid w:val="00FD0018"/>
    <w:rsid w:val="00FD4D1A"/>
    <w:rsid w:val="00FD6E64"/>
    <w:rsid w:val="00FD7278"/>
    <w:rsid w:val="00FE115C"/>
    <w:rsid w:val="00FF0324"/>
    <w:rsid w:val="00FF30C9"/>
    <w:rsid w:val="00FF4DBE"/>
    <w:rsid w:val="00FF76F6"/>
    <w:rsid w:val="08E23383"/>
    <w:rsid w:val="0F2F5EE9"/>
    <w:rsid w:val="10301AF3"/>
    <w:rsid w:val="14CB2C8D"/>
    <w:rsid w:val="16995DB7"/>
    <w:rsid w:val="1A673C2F"/>
    <w:rsid w:val="1BAC5276"/>
    <w:rsid w:val="21317BEA"/>
    <w:rsid w:val="21F066AD"/>
    <w:rsid w:val="21F91F85"/>
    <w:rsid w:val="26960909"/>
    <w:rsid w:val="2D8E7315"/>
    <w:rsid w:val="2EBB02EA"/>
    <w:rsid w:val="37D97219"/>
    <w:rsid w:val="38C746FA"/>
    <w:rsid w:val="3ACC55F3"/>
    <w:rsid w:val="3C950565"/>
    <w:rsid w:val="3DAB4624"/>
    <w:rsid w:val="471548BC"/>
    <w:rsid w:val="4B795B2C"/>
    <w:rsid w:val="4C511077"/>
    <w:rsid w:val="4CAD6A4E"/>
    <w:rsid w:val="4D573E80"/>
    <w:rsid w:val="514A5F92"/>
    <w:rsid w:val="5BA81D4B"/>
    <w:rsid w:val="5C6B1AA3"/>
    <w:rsid w:val="5D8B797D"/>
    <w:rsid w:val="61750921"/>
    <w:rsid w:val="61CD250B"/>
    <w:rsid w:val="676C5089"/>
    <w:rsid w:val="69BD4C13"/>
    <w:rsid w:val="6E787587"/>
    <w:rsid w:val="720F22F9"/>
    <w:rsid w:val="73C80D84"/>
    <w:rsid w:val="74613FF1"/>
    <w:rsid w:val="75635546"/>
    <w:rsid w:val="7B963516"/>
    <w:rsid w:val="BFBD4270"/>
    <w:rsid w:val="BFBF8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80" w:firstLineChars="200"/>
      <w:jc w:val="both"/>
    </w:pPr>
    <w:rPr>
      <w:rFonts w:ascii="Times New Roman" w:hAnsi="Times New Roman" w:eastAsia="宋体" w:cstheme="minorBidi"/>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rPr>
      <w:rFonts w:cs="Times New Roman"/>
    </w:r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ind w:firstLine="0" w:firstLineChars="0"/>
      <w:jc w:val="left"/>
    </w:pPr>
    <w:rPr>
      <w:rFonts w:ascii="宋体" w:hAnsi="宋体" w:cs="宋体"/>
      <w:kern w:val="0"/>
    </w:rPr>
  </w:style>
  <w:style w:type="character" w:styleId="9">
    <w:name w:val="Strong"/>
    <w:basedOn w:val="8"/>
    <w:qFormat/>
    <w:uiPriority w:val="22"/>
    <w:rPr>
      <w:b/>
      <w:bCs/>
    </w:rPr>
  </w:style>
  <w:style w:type="paragraph" w:customStyle="1" w:styleId="10">
    <w:name w:val="修订1"/>
    <w:hidden/>
    <w:unhideWhenUsed/>
    <w:qFormat/>
    <w:uiPriority w:val="99"/>
    <w:rPr>
      <w:rFonts w:ascii="Times New Roman" w:hAnsi="Times New Roman" w:eastAsia="宋体" w:cstheme="minorBidi"/>
      <w:kern w:val="2"/>
      <w:sz w:val="24"/>
      <w:szCs w:val="24"/>
      <w:lang w:val="en-US" w:eastAsia="zh-CN" w:bidi="ar-SA"/>
    </w:rPr>
  </w:style>
  <w:style w:type="character" w:customStyle="1" w:styleId="11">
    <w:name w:val="批注框文本 字符"/>
    <w:basedOn w:val="8"/>
    <w:link w:val="3"/>
    <w:qFormat/>
    <w:uiPriority w:val="0"/>
    <w:rPr>
      <w:rFonts w:ascii="Times New Roman" w:hAnsi="Times New Roman" w:eastAsia="宋体"/>
      <w:kern w:val="2"/>
      <w:sz w:val="18"/>
      <w:szCs w:val="18"/>
    </w:rPr>
  </w:style>
  <w:style w:type="paragraph" w:customStyle="1" w:styleId="12">
    <w:name w:val="修订2"/>
    <w:hidden/>
    <w:semiHidden/>
    <w:qFormat/>
    <w:uiPriority w:val="99"/>
    <w:rPr>
      <w:rFonts w:ascii="Times New Roman" w:hAnsi="Times New Roman" w:eastAsia="宋体" w:cstheme="minorBidi"/>
      <w:kern w:val="2"/>
      <w:sz w:val="24"/>
      <w:szCs w:val="24"/>
      <w:lang w:val="en-US" w:eastAsia="zh-CN" w:bidi="ar-SA"/>
    </w:rPr>
  </w:style>
  <w:style w:type="paragraph" w:customStyle="1" w:styleId="13">
    <w:name w:val="Default"/>
    <w:qFormat/>
    <w:uiPriority w:val="0"/>
    <w:pPr>
      <w:widowControl w:val="0"/>
      <w:autoSpaceDE w:val="0"/>
      <w:autoSpaceDN w:val="0"/>
      <w:adjustRightInd w:val="0"/>
    </w:pPr>
    <w:rPr>
      <w:rFonts w:ascii="楷体" w:hAnsi="楷体" w:cs="楷体" w:eastAsiaTheme="minorEastAsia"/>
      <w:color w:val="000000"/>
      <w:sz w:val="24"/>
      <w:szCs w:val="24"/>
      <w:lang w:val="en-US" w:eastAsia="zh-CN" w:bidi="ar-SA"/>
    </w:rPr>
  </w:style>
  <w:style w:type="character" w:customStyle="1" w:styleId="14">
    <w:name w:val="批注文字 字符"/>
    <w:basedOn w:val="8"/>
    <w:link w:val="2"/>
    <w:qFormat/>
    <w:uiPriority w:val="99"/>
    <w:rPr>
      <w:rFonts w:ascii="Times New Roman" w:hAnsi="Times New Roman" w:eastAsia="宋体" w:cs="Times New Roman"/>
      <w:kern w:val="2"/>
      <w:sz w:val="24"/>
      <w:szCs w:val="24"/>
    </w:rPr>
  </w:style>
  <w:style w:type="paragraph" w:styleId="15">
    <w:name w:val="List Paragraph"/>
    <w:basedOn w:val="1"/>
    <w:qFormat/>
    <w:uiPriority w:val="34"/>
    <w:pPr>
      <w:ind w:firstLine="420"/>
    </w:pPr>
    <w:rPr>
      <w:rFonts w:asciiTheme="minorHAnsi" w:hAnsiTheme="minorHAnsi" w:eastAsiaTheme="minorEastAsia"/>
      <w:sz w:val="21"/>
    </w:rPr>
  </w:style>
  <w:style w:type="paragraph" w:customStyle="1" w:styleId="16">
    <w:name w:val="Revision"/>
    <w:hidden/>
    <w:semiHidden/>
    <w:qFormat/>
    <w:uiPriority w:val="99"/>
    <w:rPr>
      <w:rFonts w:ascii="Times New Roman" w:hAnsi="Times New Roman" w:eastAsia="宋体"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Words>
  <Characters>1238</Characters>
  <Lines>10</Lines>
  <Paragraphs>2</Paragraphs>
  <TotalTime>426</TotalTime>
  <ScaleCrop>false</ScaleCrop>
  <LinksUpToDate>false</LinksUpToDate>
  <CharactersWithSpaces>1453</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2025-09-12T16:03:00Z</dcterms:created>
  <dc:creator>Administrator</dc:creator>
  <cp:lastModifiedBy>kjj</cp:lastModifiedBy>
  <cp:lastPrinted>2025-09-24T17:16:00Z</cp:lastPrinted>
  <dcterms:modified xsi:type="dcterms:W3CDTF">2025-09-26T17:16:44Z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F00ABF49797C1103F559D668F605152E</vt:lpwstr>
  </property>
  <property fmtid="{D5CDD505-2E9C-101B-9397-08002B2CF9AE}" pid="4" name="KSOTemplateDocerSaveRecord">
    <vt:lpwstr>eyJoZGlkIjoiYmMwMGM0N2VkYTI4ZjBkZmUzOWY4MzdjZjg0OTljNTAiLCJ1c2VySWQiOiIxMTc0MTkzMDE3In0=</vt:lpwstr>
  </property>
</Properties>
</file>