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仿宋_GB2312" w:hAnsi="Times New Roman" w:eastAsia="仿宋_GB2312"/>
          <w:sz w:val="32"/>
          <w:szCs w:val="32"/>
        </w:rPr>
      </w:pPr>
      <w:bookmarkStart w:id="3" w:name="_GoBack"/>
      <w:bookmarkEnd w:id="3"/>
    </w:p>
    <w:p>
      <w:pPr>
        <w:snapToGrid w:val="0"/>
        <w:jc w:val="center"/>
        <w:rPr>
          <w:rFonts w:ascii="Times New Roman" w:hAnsi="Times New Roman" w:eastAsia="方正小标宋简体"/>
          <w:b/>
          <w:bCs/>
          <w:sz w:val="44"/>
          <w:szCs w:val="44"/>
        </w:rPr>
      </w:pPr>
      <w:r>
        <w:rPr>
          <w:rFonts w:hint="eastAsia" w:ascii="Times New Roman" w:hAnsi="Times New Roman" w:eastAsia="方正小标宋简体"/>
          <w:sz w:val="44"/>
          <w:szCs w:val="44"/>
        </w:rPr>
        <w:t>2025年自治区科技“突围”工程生物技术专项第二批</w:t>
      </w:r>
      <w:r>
        <w:rPr>
          <w:rFonts w:hint="eastAsia" w:ascii="Times New Roman" w:hAnsi="Times New Roman" w:eastAsia="方正小标宋简体"/>
          <w:sz w:val="44"/>
          <w:szCs w:val="32"/>
        </w:rPr>
        <w:t>“揭榜挂帅”项目</w:t>
      </w:r>
      <w:r>
        <w:rPr>
          <w:rFonts w:hint="eastAsia" w:ascii="Times New Roman" w:hAnsi="Times New Roman" w:eastAsia="方正小标宋简体"/>
          <w:sz w:val="44"/>
          <w:szCs w:val="44"/>
        </w:rPr>
        <w:t>技术榜单</w:t>
      </w:r>
    </w:p>
    <w:p>
      <w:pPr>
        <w:numPr>
          <w:ilvl w:val="255"/>
          <w:numId w:val="0"/>
        </w:numPr>
        <w:adjustRightInd w:val="0"/>
        <w:snapToGrid w:val="0"/>
        <w:spacing w:line="600" w:lineRule="exact"/>
        <w:ind w:firstLine="642" w:firstLineChars="200"/>
        <w:rPr>
          <w:rFonts w:ascii="黑体" w:hAnsi="黑体" w:eastAsia="黑体" w:cs="仿宋"/>
          <w:b/>
          <w:bCs/>
          <w:sz w:val="32"/>
          <w:szCs w:val="32"/>
        </w:rPr>
      </w:pPr>
    </w:p>
    <w:p>
      <w:pPr>
        <w:numPr>
          <w:ilvl w:val="255"/>
          <w:numId w:val="0"/>
        </w:numPr>
        <w:adjustRightInd w:val="0"/>
        <w:snapToGrid w:val="0"/>
        <w:spacing w:line="600" w:lineRule="exact"/>
        <w:ind w:firstLine="640" w:firstLineChars="200"/>
        <w:rPr>
          <w:rFonts w:ascii="黑体" w:hAnsi="黑体" w:eastAsia="黑体" w:cs="黑体"/>
          <w:color w:val="000000"/>
          <w:sz w:val="32"/>
          <w:szCs w:val="32"/>
        </w:rPr>
      </w:pPr>
      <w:r>
        <w:rPr>
          <w:rFonts w:hint="eastAsia" w:ascii="黑体" w:hAnsi="黑体" w:eastAsia="黑体" w:cs="仿宋"/>
          <w:bCs/>
          <w:sz w:val="32"/>
          <w:szCs w:val="32"/>
        </w:rPr>
        <w:t>一</w:t>
      </w:r>
      <w:r>
        <w:rPr>
          <w:rFonts w:ascii="黑体" w:hAnsi="黑体" w:eastAsia="黑体" w:cs="仿宋"/>
          <w:bCs/>
          <w:sz w:val="32"/>
          <w:szCs w:val="32"/>
        </w:rPr>
        <w:t>、</w:t>
      </w:r>
      <w:r>
        <w:rPr>
          <w:rFonts w:hint="eastAsia" w:ascii="黑体" w:hAnsi="黑体" w:eastAsia="黑体" w:cs="黑体"/>
          <w:color w:val="000000"/>
          <w:sz w:val="32"/>
          <w:szCs w:val="32"/>
        </w:rPr>
        <w:t>肉牛生物育种核心技术突围及其示范应用</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1.研究内容</w:t>
      </w:r>
    </w:p>
    <w:p>
      <w:pPr>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sz w:val="32"/>
          <w:szCs w:val="32"/>
          <w:lang w:bidi="ar"/>
        </w:rPr>
        <w:t>以培育重大战略性优质高产肉牛新品系为目标，深度融合生物技术BT、信息技术IT和人工智能AI等技术，聚焦“大理石纹优质+双肌高产”肉牛选育，在技术研究层面，通过优化小体量“微型”编辑器，并结合新型胚胎干细胞育种方法，构建优质高产基因编辑技术体系，建立肉牛高效育种技术平台；在产品积累层面，围绕影响肉质的主效基因和位点进行筛选和基因编辑，系统提升牛肉的整体品质，包括风味、大理石纹、不饱和脂肪酸和肉质色泽等肉品质性状，制备优质高产肉牛新品种（系），并组建核心群，为我国提供优质高产肉牛核心种源；在产业化示范层面，基于CRISPR系统的核酸识别能力，结合等温扩增、信号转换和生物传感技术，实现高灵敏、高特异性的布鲁氏菌病和牛结节性皮肤病的试纸检测，在我区主要核心育种场及种公牛站实现疫病大数据监控，提高养殖效益。</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内蒙古主导肉牛为基础品种，通过“基因编辑+AI+智能检测”技术融合，开发5项以上关键技术（含4-8项高效精准基因编辑新技术），建立200头高产新品系和80头优质新品系核心群；基因编辑效率提升2-5倍，产肉性能提高15%（500kg基准），肌内脂肪含量从4%提升至10%；实现病原检测灵敏度1拷贝/微升，检测特异性≥99%；完成3个以上核心育种场示范应用，形成稳定遗传的核心种源供应体系。</w:t>
      </w:r>
    </w:p>
    <w:p>
      <w:pPr>
        <w:spacing w:line="600" w:lineRule="exact"/>
        <w:ind w:firstLine="642" w:firstLineChars="200"/>
        <w:rPr>
          <w:rFonts w:ascii="仿宋_GB2312" w:hAnsi="仿宋" w:eastAsia="仿宋_GB2312" w:cs="仿宋"/>
          <w:bCs/>
          <w:sz w:val="32"/>
          <w:szCs w:val="32"/>
        </w:rPr>
      </w:pPr>
      <w:r>
        <w:rPr>
          <w:rFonts w:ascii="楷体_GB2312" w:hAnsi="仿宋" w:eastAsia="楷体_GB2312" w:cs="仿宋"/>
          <w:b/>
          <w:color w:val="000000"/>
          <w:sz w:val="32"/>
          <w:szCs w:val="32"/>
        </w:rPr>
        <w:t>3.实施周期：</w:t>
      </w:r>
      <w:r>
        <w:rPr>
          <w:rFonts w:ascii="仿宋_GB2312" w:hAnsi="仿宋" w:eastAsia="仿宋_GB2312" w:cs="仿宋"/>
          <w:bCs/>
          <w:sz w:val="32"/>
          <w:szCs w:val="32"/>
        </w:rPr>
        <w:t>3年</w:t>
      </w:r>
    </w:p>
    <w:p>
      <w:pPr>
        <w:spacing w:line="600" w:lineRule="exact"/>
        <w:ind w:firstLine="642" w:firstLineChars="200"/>
        <w:rPr>
          <w:rFonts w:ascii="仿宋_GB2312" w:hAnsi="仿宋" w:eastAsia="仿宋_GB2312" w:cs="仿宋"/>
          <w:bCs/>
          <w:sz w:val="32"/>
          <w:szCs w:val="32"/>
        </w:rPr>
      </w:pPr>
      <w:r>
        <w:rPr>
          <w:rFonts w:ascii="楷体_GB2312" w:hAnsi="仿宋" w:eastAsia="楷体_GB2312" w:cs="仿宋"/>
          <w:b/>
          <w:color w:val="000000"/>
          <w:sz w:val="32"/>
          <w:szCs w:val="32"/>
        </w:rPr>
        <w:t>4.拟支持资金额度：</w:t>
      </w:r>
      <w:r>
        <w:rPr>
          <w:rFonts w:hint="eastAsia" w:ascii="仿宋_GB2312" w:hAnsi="仿宋" w:eastAsia="仿宋_GB2312" w:cs="仿宋"/>
          <w:sz w:val="32"/>
          <w:szCs w:val="32"/>
        </w:rPr>
        <w:t>自治区本级科技专项资金投入800万元，需要企业自筹不低于1600万元。</w:t>
      </w:r>
    </w:p>
    <w:p>
      <w:pPr>
        <w:spacing w:line="600" w:lineRule="exact"/>
        <w:ind w:firstLine="480" w:firstLineChars="150"/>
        <w:rPr>
          <w:rFonts w:ascii="黑体" w:hAnsi="黑体" w:eastAsia="黑体"/>
          <w:bCs/>
          <w:sz w:val="32"/>
          <w:szCs w:val="32"/>
          <w:highlight w:val="yellow"/>
        </w:rPr>
      </w:pPr>
      <w:r>
        <w:rPr>
          <w:rFonts w:hint="eastAsia" w:ascii="黑体" w:hAnsi="黑体" w:eastAsia="黑体"/>
          <w:bCs/>
          <w:sz w:val="32"/>
          <w:szCs w:val="32"/>
        </w:rPr>
        <w:t>二、三河牛乳肉性能基因组选育提升及种质创新</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1.研究内容</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围绕三河牛乳肉性能协同提升与种质创新的总体目标，开展三河牛育种核心群培育与表型数据库建设，系统实施品种登记、生产性能测定（DHI）、体型鉴定、采食量监测等，构建多性状育种；利用基因编辑技术创制具双肌等优异性状的新种质，并高效导入优良基因，在保持三河牛抗逆性的基础上显著提升产肉性能；建立并优化三河牛乳用和肉用性能基因组选择参考群，构建覆盖产奶性状、肉用性状、繁殖性状、体型外貌等性状的基因组育种技术体系。</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pPr>
        <w:pStyle w:val="7"/>
        <w:spacing w:line="600" w:lineRule="exact"/>
        <w:ind w:firstLine="640" w:firstLineChars="200"/>
        <w:rPr>
          <w:rFonts w:hint="default" w:ascii="仿宋_GB2312" w:hAnsi="Times New Roman" w:eastAsia="仿宋_GB2312"/>
          <w:b w:val="0"/>
          <w:bCs/>
          <w:sz w:val="32"/>
          <w:szCs w:val="32"/>
        </w:rPr>
      </w:pPr>
      <w:r>
        <w:rPr>
          <w:rFonts w:ascii="仿宋_GB2312" w:hAnsi="Times New Roman" w:eastAsia="仿宋_GB2312"/>
          <w:b w:val="0"/>
          <w:bCs/>
          <w:sz w:val="32"/>
          <w:szCs w:val="32"/>
        </w:rPr>
        <w:t>建立三河牛基因组选择参考群规模达2500头以上，建立三河牛泌乳性能基因组预测技术体系和三河牛肉用性状基因组预测技术体系1套；培育高产优质肉用三河牛核心群300头以上，核心群肉用性能关键指标（如眼肌面积、屠宰率）较基础群体显著提高，群体屠宰率提升10%；创制双肌三河牛基因编辑体系2套，获得基因编辑三河牛活体后代，完成基因型和表型鉴定；特色乳品质选育新性状2~3个，获得遗传参数；形成可推广的三河牛高效育种技术体系。</w:t>
      </w:r>
    </w:p>
    <w:p>
      <w:pPr>
        <w:tabs>
          <w:tab w:val="left" w:pos="312"/>
        </w:tabs>
        <w:spacing w:line="600" w:lineRule="exact"/>
        <w:ind w:firstLine="642" w:firstLineChars="200"/>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pPr>
        <w:adjustRightInd w:val="0"/>
        <w:snapToGrid w:val="0"/>
        <w:spacing w:line="600" w:lineRule="exact"/>
        <w:ind w:firstLine="642" w:firstLineChars="200"/>
        <w:rPr>
          <w:rFonts w:ascii="仿宋_GB2312" w:hAnsi="仿宋" w:eastAsia="仿宋_GB2312" w:cs="仿宋"/>
          <w:sz w:val="32"/>
          <w:szCs w:val="32"/>
        </w:rPr>
      </w:pPr>
      <w:r>
        <w:rPr>
          <w:rFonts w:ascii="楷体_GB2312" w:hAnsi="仿宋" w:eastAsia="楷体_GB2312" w:cs="仿宋"/>
          <w:b/>
          <w:color w:val="000000"/>
          <w:sz w:val="32"/>
          <w:szCs w:val="32"/>
        </w:rPr>
        <w:t>4.</w:t>
      </w:r>
      <w:r>
        <w:rPr>
          <w:rFonts w:hint="eastAsia" w:ascii="楷体_GB2312" w:hAnsi="仿宋" w:eastAsia="楷体_GB2312" w:cs="仿宋"/>
          <w:b/>
          <w:color w:val="000000"/>
          <w:sz w:val="32"/>
          <w:szCs w:val="32"/>
        </w:rPr>
        <w:t>拟支持资金额度：</w:t>
      </w:r>
      <w:r>
        <w:rPr>
          <w:rFonts w:hint="eastAsia" w:ascii="仿宋_GB2312" w:hAnsi="仿宋" w:eastAsia="仿宋_GB2312" w:cs="仿宋"/>
          <w:sz w:val="32"/>
          <w:szCs w:val="32"/>
        </w:rPr>
        <w:t>自治区本级科技专项资金投入800万元，需要企业自筹不低于1600万元。</w:t>
      </w:r>
    </w:p>
    <w:p>
      <w:pPr>
        <w:numPr>
          <w:ilvl w:val="255"/>
          <w:numId w:val="0"/>
        </w:numPr>
        <w:adjustRightInd w:val="0"/>
        <w:snapToGrid w:val="0"/>
        <w:spacing w:line="600" w:lineRule="exact"/>
        <w:ind w:left="1590" w:leftChars="300" w:hanging="960" w:hangingChars="300"/>
        <w:rPr>
          <w:rFonts w:ascii="黑体" w:hAnsi="黑体" w:eastAsia="黑体" w:cs="仿宋"/>
          <w:bCs/>
          <w:sz w:val="32"/>
          <w:szCs w:val="32"/>
        </w:rPr>
      </w:pPr>
      <w:r>
        <w:rPr>
          <w:rFonts w:hint="eastAsia" w:ascii="黑体" w:hAnsi="黑体" w:eastAsia="黑体" w:cs="仿宋"/>
          <w:bCs/>
          <w:sz w:val="32"/>
          <w:szCs w:val="32"/>
        </w:rPr>
        <w:t>三、奶绵羊生物育种与新品种培育</w:t>
      </w:r>
    </w:p>
    <w:p>
      <w:pPr>
        <w:numPr>
          <w:ilvl w:val="255"/>
          <w:numId w:val="0"/>
        </w:numPr>
        <w:adjustRightInd w:val="0"/>
        <w:snapToGrid w:val="0"/>
        <w:spacing w:line="600" w:lineRule="exact"/>
        <w:ind w:firstLine="642" w:firstLineChars="200"/>
        <w:rPr>
          <w:rFonts w:ascii="仿宋_GB2312" w:hAnsi="仿宋" w:eastAsia="仿宋_GB2312" w:cs="仿宋"/>
          <w:b/>
          <w:bCs/>
          <w:sz w:val="32"/>
          <w:szCs w:val="32"/>
        </w:rPr>
      </w:pPr>
      <w:r>
        <w:rPr>
          <w:rFonts w:hint="eastAsia" w:ascii="仿宋_GB2312" w:hAnsi="仿宋" w:eastAsia="仿宋_GB2312" w:cs="仿宋"/>
          <w:b/>
          <w:bCs/>
          <w:sz w:val="32"/>
          <w:szCs w:val="32"/>
        </w:rPr>
        <w:t>1.研究内容</w:t>
      </w:r>
    </w:p>
    <w:p>
      <w:pPr>
        <w:numPr>
          <w:ilvl w:val="255"/>
          <w:numId w:val="0"/>
        </w:num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我国无自有奶绵羊品种、引进奶绵羊品种适应力差、传统育种周期长等种业卡脖子问题，开展T2T精准基因组解析，高泌乳、高繁、抗逆关键性状功能基因筛选及性别控制、体外胚胎生产、基因编辑技术联合攻关，突破奶绵羊基因评估与高效繁育一体化生物育种技术体系;针对奶绵羊传统表型选育评估准确率低、关键性状基因协同筛选优化困难等问题，突破泌乳、抗逆关键性状基因育种算法与自动化表型组学整合技术，研发自动化、智能化AI育种平台;针对绵羊乳加工特性不稳定等瓶颈问题，开展标准化绵羊乳产品加工生产技术评估指标体系攻关，研发绵羊奶高附加值产品。构建“技术+平台+产品” 三维生物育种技术体系，培育适应我国北方地区的奶绵羊新品种，引领奶绵羊产业战略升级。</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完成奶绵羊新品种（系）T2T精细基因组图谱1套；建立高产优质奶绵羊全基因组关联选择技术体系1套；挖掘并解析奶绵羊高产优质性状基因20个以上；研发育种检测基因芯片1项；突破体外基因编辑性控胚胎高效生产技术，囊胚率达到25%；获得高泌乳基因编辑胚胎1000枚以上;建立高通量智能化生物育种综合服务平台1个;建立奶绵羊新品种泌乳指标标准评价体系1套;制定绵羊奶产品标准3项；培育高产抗病奶绵羊新品种（系）1个，核心群达到2000只以上；新品种核心群成年母羊泌乳性能达到380 kg/年，泌乳期达到210天/年，产羔率达到180%。建立示范推广点20个以上，推广规模5万只以上。</w:t>
      </w:r>
    </w:p>
    <w:p>
      <w:pPr>
        <w:numPr>
          <w:ilvl w:val="255"/>
          <w:numId w:val="0"/>
        </w:numPr>
        <w:adjustRightInd w:val="0"/>
        <w:snapToGrid w:val="0"/>
        <w:spacing w:line="600" w:lineRule="exact"/>
        <w:ind w:firstLine="642" w:firstLineChars="200"/>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pPr>
        <w:adjustRightInd w:val="0"/>
        <w:snapToGrid w:val="0"/>
        <w:spacing w:line="600" w:lineRule="exact"/>
        <w:ind w:firstLine="642" w:firstLineChars="200"/>
        <w:rPr>
          <w:rFonts w:ascii="仿宋_GB2312" w:hAnsi="仿宋" w:eastAsia="仿宋_GB2312" w:cs="仿宋"/>
          <w:sz w:val="32"/>
          <w:szCs w:val="32"/>
        </w:rPr>
      </w:pPr>
      <w:r>
        <w:rPr>
          <w:rFonts w:hint="eastAsia" w:ascii="楷体_GB2312" w:hAnsi="仿宋" w:eastAsia="楷体_GB2312" w:cs="仿宋"/>
          <w:b/>
          <w:color w:val="000000"/>
          <w:sz w:val="32"/>
          <w:szCs w:val="32"/>
        </w:rPr>
        <w:t>4.拟支持资金额度：</w:t>
      </w:r>
      <w:r>
        <w:rPr>
          <w:rFonts w:hint="eastAsia" w:ascii="仿宋_GB2312" w:hAnsi="仿宋" w:eastAsia="仿宋_GB2312" w:cs="仿宋"/>
          <w:sz w:val="32"/>
          <w:szCs w:val="32"/>
        </w:rPr>
        <w:t>自治区本级科技专项资金投入800万元，需要企业自筹不低于1600万元。</w:t>
      </w:r>
    </w:p>
    <w:p>
      <w:pPr>
        <w:adjustRightInd w:val="0"/>
        <w:snapToGrid w:val="0"/>
        <w:spacing w:line="600" w:lineRule="exact"/>
        <w:ind w:firstLine="640" w:firstLineChars="200"/>
        <w:rPr>
          <w:rFonts w:ascii="黑体" w:hAnsi="黑体" w:eastAsia="黑体"/>
          <w:b w:val="0"/>
          <w:bCs w:val="0"/>
          <w:sz w:val="32"/>
          <w:szCs w:val="32"/>
        </w:rPr>
      </w:pPr>
      <w:r>
        <w:rPr>
          <w:rFonts w:hint="eastAsia" w:ascii="黑体" w:hAnsi="黑体" w:eastAsia="黑体" w:cs="仿宋"/>
          <w:b w:val="0"/>
          <w:bCs w:val="0"/>
          <w:sz w:val="32"/>
          <w:szCs w:val="32"/>
        </w:rPr>
        <w:t>四、</w:t>
      </w:r>
      <w:r>
        <w:rPr>
          <w:rFonts w:hint="eastAsia" w:ascii="黑体" w:hAnsi="黑体" w:eastAsia="黑体"/>
          <w:b w:val="0"/>
          <w:bCs w:val="0"/>
          <w:sz w:val="32"/>
          <w:szCs w:val="32"/>
        </w:rPr>
        <w:t>非粮生物质合成L-苹果酸技术研发及产业化</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1.研究内容</w:t>
      </w:r>
    </w:p>
    <w:p>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sz w:val="32"/>
          <w:szCs w:val="32"/>
        </w:rPr>
        <w:t>通过多基因重组技术对菌株L-苹果酸合成途径进行修饰改造，并与基因调控、代谢调控及生化工程相结合，实现构建L-苹果酸高产率的菌种。系统研究不同发酵条件对L-苹果酸产量和质量的影响，优化发酵过程参数，建立高效的发酵工艺。开发经济、高效的分离纯化技术，如膜分离、色谱分离等，降低产品分离成本，提高L-苹果酸纯度和质量。建设中试生产线，进行中试试验，验证技术的可行性和稳定性。开展生物质合成的L-苹果酸在食品、医药、化工等行业的产品应用评价和开发。在此基础上，建立发酵过程工艺数据库，建设产业化生产装置，实现规模化生产。</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sz w:val="32"/>
          <w:szCs w:val="32"/>
        </w:rPr>
        <w:t>强化工程菌种自身纤维素降解能力和人工目标化学品L-苹果酸代谢途径，开发适合工业化规模化生产的生物质直接发酵合成苹果酸高效菌种（整个过程无需额外添加纤维素酶）至少1株；完善至少1株工程菌种的工业化生产工艺，制定生产技术标准，质量评价标准，并完成菌种登记和国家认定；实现成果转化不少于100万元，带动企业增收不少于500万元；利用工程菌种，建立L-苹果年产量不少于100kg示范生产线1条。</w:t>
      </w:r>
    </w:p>
    <w:p>
      <w:pPr>
        <w:tabs>
          <w:tab w:val="left" w:pos="312"/>
        </w:tabs>
        <w:adjustRightInd w:val="0"/>
        <w:snapToGrid w:val="0"/>
        <w:spacing w:line="600" w:lineRule="exact"/>
        <w:ind w:left="643"/>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pPr>
        <w:spacing w:line="600" w:lineRule="exact"/>
        <w:ind w:firstLine="642" w:firstLineChars="200"/>
        <w:rPr>
          <w:rFonts w:ascii="仿宋_GB2312" w:hAnsi="仿宋" w:eastAsia="仿宋_GB2312" w:cs="仿宋"/>
          <w:sz w:val="32"/>
          <w:szCs w:val="32"/>
        </w:rPr>
      </w:pPr>
      <w:r>
        <w:rPr>
          <w:rFonts w:hint="eastAsia" w:ascii="楷体_GB2312" w:hAnsi="仿宋" w:eastAsia="楷体_GB2312" w:cs="仿宋"/>
          <w:b/>
          <w:color w:val="000000"/>
          <w:sz w:val="32"/>
          <w:szCs w:val="32"/>
        </w:rPr>
        <w:t>4.拟支持资金额度：</w:t>
      </w:r>
      <w:bookmarkStart w:id="0" w:name="_Hlk205211349"/>
      <w:r>
        <w:rPr>
          <w:rFonts w:hint="eastAsia" w:ascii="仿宋_GB2312" w:hAnsi="仿宋" w:eastAsia="仿宋_GB2312" w:cs="仿宋"/>
          <w:sz w:val="32"/>
          <w:szCs w:val="32"/>
        </w:rPr>
        <w:t>自治区本级科技专项资金投入1000万元，需要企业自筹不低于2000万元。</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五、</w:t>
      </w:r>
      <w:bookmarkEnd w:id="0"/>
      <w:r>
        <w:rPr>
          <w:rFonts w:hint="eastAsia" w:ascii="黑体" w:hAnsi="黑体" w:eastAsia="黑体"/>
          <w:bCs/>
          <w:sz w:val="32"/>
          <w:szCs w:val="32"/>
        </w:rPr>
        <w:t>反刍动物高效兽药关键技术及新制剂创制</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1.研究任务：</w:t>
      </w:r>
      <w:bookmarkStart w:id="1" w:name="OLE_LINK13"/>
      <w:bookmarkStart w:id="2" w:name="_Hlk20841552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针对当前我国牛羊专用药物存在质量低、疗效差、残留高、剂型单一、使用便利性差等问题，开发反刍动物用兽药优势新晶型/盐型，建立反刍兽药新晶型高通量筛选及评价平台和晶型库；通过基因编辑重构代谢通路，利用CRISPR-Cas9等技术改造生产菌株，开发绿色、低耗能、低成本的生物合成药物新工艺。开发定向释放微囊包被、精准调节缓控释的新制剂，建立缓控释制剂体内/外评价模型，开展牛羊安全性和临床有效性评价研究，制定新制剂质量控制标准，建立从原料到成品的全自动智能化制剂生产线，实现高端制剂产业化。</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bookmarkEnd w:id="1"/>
    <w:bookmarkEnd w:id="2"/>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开发牛羊用原料药结晶工艺2-3个，获得3-5种具有自主知识产权的优势新晶型（晶型纯度99.0%，总杂≤1.0%）；设计建立智能化结晶装置及其配套控制系统1套，取得1-2个绿色全细胞生物合成原料新工艺，“三废排放”降低60%以上，生产成本降低30%以上；完成3个牛羊体内药物残留评价研究，开发3-5个复方、长效药物新制剂，生物利用度大于80%、治愈率大于85%，比现有产品显著提升1倍以上；建立国家兽药质量标准3套，药物体内/外评价模型3套；获得3个国家《新兽药注册证书》。</w:t>
      </w:r>
    </w:p>
    <w:p>
      <w:pPr>
        <w:spacing w:line="600" w:lineRule="exact"/>
        <w:ind w:firstLine="642" w:firstLineChars="200"/>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pPr>
        <w:tabs>
          <w:tab w:val="left" w:pos="312"/>
        </w:tabs>
        <w:spacing w:line="600" w:lineRule="exact"/>
        <w:ind w:firstLine="642" w:firstLineChars="200"/>
        <w:rPr>
          <w:rFonts w:ascii="仿宋_GB2312" w:hAnsi="仿宋" w:eastAsia="仿宋_GB2312" w:cs="仿宋"/>
          <w:sz w:val="32"/>
          <w:szCs w:val="32"/>
        </w:rPr>
      </w:pPr>
      <w:r>
        <w:rPr>
          <w:rFonts w:hint="eastAsia" w:ascii="楷体_GB2312" w:hAnsi="仿宋" w:eastAsia="楷体_GB2312" w:cs="仿宋"/>
          <w:b/>
          <w:color w:val="000000"/>
          <w:sz w:val="32"/>
          <w:szCs w:val="32"/>
        </w:rPr>
        <w:t>4.拟支持资金额度：</w:t>
      </w:r>
      <w:r>
        <w:rPr>
          <w:rFonts w:hint="eastAsia" w:ascii="仿宋_GB2312" w:hAnsi="仿宋" w:eastAsia="仿宋_GB2312" w:cs="仿宋"/>
          <w:sz w:val="32"/>
          <w:szCs w:val="32"/>
        </w:rPr>
        <w:t>自治区本级科技专项资金投入1000万元，需要企业自筹不低于2000万元。</w:t>
      </w:r>
    </w:p>
    <w:p>
      <w:pPr>
        <w:numPr>
          <w:ilvl w:val="255"/>
          <w:numId w:val="0"/>
        </w:numPr>
        <w:adjustRightInd w:val="0"/>
        <w:snapToGrid w:val="0"/>
        <w:spacing w:line="600" w:lineRule="exact"/>
        <w:ind w:firstLine="640" w:firstLineChars="200"/>
        <w:rPr>
          <w:rFonts w:ascii="黑体" w:hAnsi="黑体" w:eastAsia="黑体"/>
          <w:bCs/>
          <w:sz w:val="32"/>
          <w:szCs w:val="32"/>
        </w:rPr>
      </w:pPr>
      <w:r>
        <w:rPr>
          <w:rFonts w:hint="eastAsia" w:ascii="黑体" w:hAnsi="黑体" w:eastAsia="黑体"/>
          <w:bCs/>
          <w:sz w:val="32"/>
          <w:szCs w:val="32"/>
        </w:rPr>
        <w:t>六、关键动物疫病新型靶向兽药合成研究及产业化</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足养殖业需求，合成研发新型兽用抗生素；建立猪、牛关键疫病模型，进一步开发特定的药物递送载体，确保药物能够精准到达治疗靶点并释放；针对猪、牛等动物疫病系统开展兽用抗生素的靶动物试验研究，对兽药的吸收、分布、代谢和排泄过程开展研究，使得靶向药物精准使用，在适当降低抗生素用量的基础上提升靶向动物疗效、安全性。通过研究推动该类靶向兽药的注册申报、规模化生产及推广应用，保障动物健康、稳定养殖生产和提升畜产品安全水平。</w:t>
      </w:r>
    </w:p>
    <w:p>
      <w:pPr>
        <w:spacing w:line="600" w:lineRule="exact"/>
        <w:ind w:firstLine="642"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完成5-6个兽药配方筛选与优化，形成成熟生产工艺规程4-6项；研发4-5种新型兽用抗生素，实现产业化生产；构建3-4种动物疾病药效评价模型，建立药物残留检测方法3项以上；制定相关质量标准与技术规范4-5项；完成2-3个靶向兽药注册申请，获得1-2个生产文号批件；联合区内外高校建设产学研基地1-2个；培训企业技术人员50-100人次；推动产业覆盖规模养殖场50-100家、100万头动物以上；项目预期实现年销售收入1.5-2亿元。</w:t>
      </w:r>
    </w:p>
    <w:p>
      <w:pPr>
        <w:numPr>
          <w:ilvl w:val="255"/>
          <w:numId w:val="0"/>
        </w:numPr>
        <w:adjustRightInd w:val="0"/>
        <w:snapToGrid w:val="0"/>
        <w:spacing w:line="600" w:lineRule="exact"/>
        <w:ind w:firstLine="642" w:firstLineChars="200"/>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pPr>
        <w:spacing w:line="600" w:lineRule="exact"/>
        <w:ind w:firstLine="642" w:firstLineChars="200"/>
        <w:rPr>
          <w:rFonts w:ascii="仿宋_GB2312" w:hAnsi="仿宋" w:eastAsia="仿宋_GB2312" w:cs="仿宋"/>
          <w:sz w:val="32"/>
          <w:szCs w:val="32"/>
        </w:rPr>
      </w:pPr>
      <w:r>
        <w:rPr>
          <w:rFonts w:hint="eastAsia" w:ascii="楷体_GB2312" w:hAnsi="仿宋" w:eastAsia="楷体_GB2312" w:cs="仿宋"/>
          <w:b/>
          <w:color w:val="000000"/>
          <w:sz w:val="32"/>
          <w:szCs w:val="32"/>
        </w:rPr>
        <w:t>4.拟支持资金额度：</w:t>
      </w:r>
      <w:r>
        <w:rPr>
          <w:rFonts w:hint="eastAsia" w:ascii="仿宋_GB2312" w:hAnsi="仿宋" w:eastAsia="仿宋_GB2312" w:cs="仿宋"/>
          <w:sz w:val="32"/>
          <w:szCs w:val="32"/>
        </w:rPr>
        <w:t>自治区本级科技专项资金投入1000万元，需要企业自筹不低于2000万元。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92427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8E"/>
    <w:rsid w:val="0003554E"/>
    <w:rsid w:val="000378A4"/>
    <w:rsid w:val="000770CB"/>
    <w:rsid w:val="000B0D70"/>
    <w:rsid w:val="000C0ADB"/>
    <w:rsid w:val="000D0336"/>
    <w:rsid w:val="000F5CC6"/>
    <w:rsid w:val="00161C8F"/>
    <w:rsid w:val="001B7117"/>
    <w:rsid w:val="001D6868"/>
    <w:rsid w:val="001F78C5"/>
    <w:rsid w:val="002348C5"/>
    <w:rsid w:val="00262364"/>
    <w:rsid w:val="002714D2"/>
    <w:rsid w:val="002E1380"/>
    <w:rsid w:val="003306AE"/>
    <w:rsid w:val="003315EB"/>
    <w:rsid w:val="00364E11"/>
    <w:rsid w:val="003B07AD"/>
    <w:rsid w:val="0043548A"/>
    <w:rsid w:val="00487476"/>
    <w:rsid w:val="004946CF"/>
    <w:rsid w:val="004B6DB0"/>
    <w:rsid w:val="0057157E"/>
    <w:rsid w:val="005D5533"/>
    <w:rsid w:val="00651DE8"/>
    <w:rsid w:val="006625DC"/>
    <w:rsid w:val="00671DBA"/>
    <w:rsid w:val="006C1D05"/>
    <w:rsid w:val="006D2BD0"/>
    <w:rsid w:val="00707F91"/>
    <w:rsid w:val="00711310"/>
    <w:rsid w:val="007253DB"/>
    <w:rsid w:val="007343D7"/>
    <w:rsid w:val="00754926"/>
    <w:rsid w:val="007B583D"/>
    <w:rsid w:val="007C1AC5"/>
    <w:rsid w:val="007C5EEF"/>
    <w:rsid w:val="007C77C1"/>
    <w:rsid w:val="007E2151"/>
    <w:rsid w:val="00845AAE"/>
    <w:rsid w:val="008812D3"/>
    <w:rsid w:val="00881BD1"/>
    <w:rsid w:val="00883A5E"/>
    <w:rsid w:val="008B775B"/>
    <w:rsid w:val="008C3205"/>
    <w:rsid w:val="008D0E86"/>
    <w:rsid w:val="008E1617"/>
    <w:rsid w:val="00964FE5"/>
    <w:rsid w:val="00993B8E"/>
    <w:rsid w:val="00994981"/>
    <w:rsid w:val="00997756"/>
    <w:rsid w:val="009E5F9E"/>
    <w:rsid w:val="00A079F1"/>
    <w:rsid w:val="00A43AE6"/>
    <w:rsid w:val="00A87C30"/>
    <w:rsid w:val="00AE15ED"/>
    <w:rsid w:val="00B0469A"/>
    <w:rsid w:val="00B13495"/>
    <w:rsid w:val="00B170B8"/>
    <w:rsid w:val="00B369D2"/>
    <w:rsid w:val="00B45059"/>
    <w:rsid w:val="00B64AB9"/>
    <w:rsid w:val="00B81019"/>
    <w:rsid w:val="00BA15A2"/>
    <w:rsid w:val="00BD3DA0"/>
    <w:rsid w:val="00BE2092"/>
    <w:rsid w:val="00C17A90"/>
    <w:rsid w:val="00C34B67"/>
    <w:rsid w:val="00C36E5E"/>
    <w:rsid w:val="00D43CAF"/>
    <w:rsid w:val="00D54545"/>
    <w:rsid w:val="00D65884"/>
    <w:rsid w:val="00E047CF"/>
    <w:rsid w:val="00E30AAE"/>
    <w:rsid w:val="00E86CA9"/>
    <w:rsid w:val="00EE4C9D"/>
    <w:rsid w:val="00F041F5"/>
    <w:rsid w:val="00F2549E"/>
    <w:rsid w:val="00F35689"/>
    <w:rsid w:val="00F41325"/>
    <w:rsid w:val="00F82F6D"/>
    <w:rsid w:val="00FB5FE2"/>
    <w:rsid w:val="00FB7FAF"/>
    <w:rsid w:val="7E3F7530"/>
    <w:rsid w:val="DFFD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line="360" w:lineRule="auto"/>
    </w:pPr>
    <w:rPr>
      <w:rFonts w:hint="eastAsia" w:ascii="黑体" w:hAnsiTheme="minorHAnsi" w:eastAsiaTheme="minorEastAsia" w:cstheme="minorBidi"/>
      <w:b/>
      <w:sz w:val="24"/>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2"/>
    <w:next w:val="1"/>
    <w:link w:val="13"/>
    <w:qFormat/>
    <w:uiPriority w:val="0"/>
    <w:pPr>
      <w:ind w:firstLine="420" w:firstLineChars="100"/>
    </w:p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正文文本 字符"/>
    <w:basedOn w:val="9"/>
    <w:link w:val="2"/>
    <w:qFormat/>
    <w:uiPriority w:val="99"/>
    <w:rPr>
      <w:rFonts w:ascii="黑体"/>
      <w:b/>
      <w:sz w:val="24"/>
      <w:szCs w:val="24"/>
    </w:rPr>
  </w:style>
  <w:style w:type="character" w:customStyle="1" w:styleId="13">
    <w:name w:val="正文首行缩进 字符"/>
    <w:basedOn w:val="12"/>
    <w:link w:val="7"/>
    <w:qFormat/>
    <w:uiPriority w:val="0"/>
    <w:rPr>
      <w:rFonts w:ascii="黑体"/>
      <w:sz w:val="24"/>
      <w:szCs w:val="24"/>
    </w:rPr>
  </w:style>
  <w:style w:type="paragraph" w:styleId="14">
    <w:name w:val="List Paragraph"/>
    <w:basedOn w:val="1"/>
    <w:qFormat/>
    <w:uiPriority w:val="99"/>
    <w:pPr>
      <w:ind w:firstLine="420" w:firstLineChars="200"/>
    </w:pPr>
    <w:rPr>
      <w:rFonts w:asciiTheme="minorHAnsi" w:hAnsiTheme="minorHAnsi" w:eastAsiaTheme="minorEastAsia" w:cstheme="minorBidi"/>
      <w:szCs w:val="24"/>
    </w:rPr>
  </w:style>
  <w:style w:type="paragraph" w:customStyle="1" w:styleId="15">
    <w:name w:val="标题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框文本 字符"/>
    <w:basedOn w:val="9"/>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3258</Words>
  <Characters>3463</Characters>
  <Lines>24</Lines>
  <Paragraphs>7</Paragraphs>
  <TotalTime>40</TotalTime>
  <ScaleCrop>false</ScaleCrop>
  <LinksUpToDate>false</LinksUpToDate>
  <CharactersWithSpaces>3465</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2025-09-24T16:01:00Z</dcterms:created>
  <dc:creator>NTKO</dc:creator>
  <cp:lastModifiedBy>kjj</cp:lastModifiedBy>
  <cp:lastPrinted>2025-09-24T17:12:00Z</cp:lastPrinted>
  <dcterms:modified xsi:type="dcterms:W3CDTF">2025-09-26T17:14:54Z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eyJoZGlkIjoiNTcyMGNkOTUzMWMyMDNlOTMzN2IwY2ViZjUzNWE2ZTEiLCJ1c2VySWQiOiIyNDQ5MDI3NTQifQ==</vt:lpwstr>
  </property>
  <property fmtid="{D5CDD505-2E9C-101B-9397-08002B2CF9AE}" pid="3" name="KSOProductBuildVer">
    <vt:lpwstr>2052-11.8.2.1116</vt:lpwstr>
  </property>
  <property fmtid="{D5CDD505-2E9C-101B-9397-08002B2CF9AE}" pid="4" name="ICV">
    <vt:lpwstr>B23307AFEA73CEB88E59D668CAA14F45</vt:lpwstr>
  </property>
</Properties>
</file>