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640" w:lineRule="exact"/>
        <w:jc w:val="center"/>
        <w:rPr>
          <w:rFonts w:ascii="方正小标宋简体" w:hAnsi="华文中宋" w:eastAsia="方正小标宋简体"/>
          <w:color w:val="000000"/>
          <w:sz w:val="44"/>
          <w:szCs w:val="44"/>
        </w:rPr>
      </w:pPr>
      <w:bookmarkStart w:id="15" w:name="_GoBack"/>
      <w:bookmarkEnd w:id="15"/>
    </w:p>
    <w:p>
      <w:pPr>
        <w:spacing w:before="312" w:beforeLines="100" w:line="640" w:lineRule="exact"/>
        <w:jc w:val="center"/>
        <w:rPr>
          <w:rFonts w:ascii="方正小标宋简体" w:hAnsi="华文中宋" w:eastAsia="方正小标宋简体"/>
          <w:color w:val="000000"/>
          <w:sz w:val="44"/>
          <w:szCs w:val="44"/>
        </w:rPr>
      </w:pPr>
    </w:p>
    <w:p>
      <w:pPr>
        <w:spacing w:line="700" w:lineRule="exact"/>
        <w:jc w:val="center"/>
        <w:rPr>
          <w:rFonts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202</w:t>
      </w:r>
      <w:r>
        <w:rPr>
          <w:rFonts w:ascii="方正小标宋简体" w:hAnsi="华文中宋" w:eastAsia="方正小标宋简体"/>
          <w:color w:val="000000"/>
          <w:sz w:val="44"/>
          <w:szCs w:val="44"/>
        </w:rPr>
        <w:t>6</w:t>
      </w:r>
      <w:r>
        <w:rPr>
          <w:rFonts w:hint="eastAsia" w:ascii="方正小标宋简体" w:hAnsi="华文中宋" w:eastAsia="方正小标宋简体"/>
          <w:color w:val="000000"/>
          <w:sz w:val="44"/>
          <w:szCs w:val="44"/>
        </w:rPr>
        <w:t>年自治区重点研发和成果转化计划</w:t>
      </w:r>
    </w:p>
    <w:p>
      <w:pPr>
        <w:spacing w:line="700" w:lineRule="exact"/>
        <w:jc w:val="center"/>
        <w:rPr>
          <w:rFonts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（科技支撑东北振兴）项目申报指南</w:t>
      </w:r>
    </w:p>
    <w:p>
      <w:pPr>
        <w:spacing w:after="624" w:afterLines="200" w:line="640" w:lineRule="exact"/>
        <w:jc w:val="center"/>
        <w:rPr>
          <w:rFonts w:ascii="方正小标宋简体" w:eastAsia="方正小标宋简体"/>
          <w:color w:val="000000"/>
          <w:sz w:val="44"/>
          <w:szCs w:val="44"/>
        </w:rPr>
      </w:pPr>
    </w:p>
    <w:p>
      <w:pPr>
        <w:spacing w:after="624" w:afterLines="200" w:line="640" w:lineRule="exact"/>
        <w:jc w:val="center"/>
        <w:rPr>
          <w:rFonts w:ascii="方正小标宋简体" w:eastAsia="方正小标宋简体"/>
          <w:color w:val="000000"/>
          <w:sz w:val="44"/>
          <w:szCs w:val="44"/>
        </w:rPr>
      </w:pPr>
    </w:p>
    <w:p>
      <w:pPr>
        <w:spacing w:after="624" w:afterLines="200" w:line="640" w:lineRule="exact"/>
        <w:jc w:val="center"/>
        <w:rPr>
          <w:rFonts w:ascii="方正小标宋简体" w:eastAsia="方正小标宋简体"/>
          <w:color w:val="000000"/>
          <w:sz w:val="44"/>
          <w:szCs w:val="44"/>
        </w:rPr>
      </w:pPr>
    </w:p>
    <w:p>
      <w:pPr>
        <w:spacing w:after="624" w:afterLines="200" w:line="640" w:lineRule="exact"/>
        <w:jc w:val="center"/>
        <w:rPr>
          <w:rFonts w:ascii="方正小标宋简体" w:eastAsia="方正小标宋简体"/>
          <w:color w:val="000000"/>
          <w:sz w:val="44"/>
          <w:szCs w:val="44"/>
        </w:rPr>
      </w:pPr>
    </w:p>
    <w:p>
      <w:pPr>
        <w:spacing w:after="624" w:afterLines="200" w:line="640" w:lineRule="exact"/>
        <w:jc w:val="center"/>
        <w:rPr>
          <w:rFonts w:ascii="方正小标宋简体" w:eastAsia="方正小标宋简体"/>
          <w:color w:val="000000"/>
          <w:sz w:val="44"/>
          <w:szCs w:val="44"/>
        </w:rPr>
      </w:pPr>
    </w:p>
    <w:p>
      <w:pPr>
        <w:spacing w:before="312" w:beforeLines="100" w:line="640" w:lineRule="exact"/>
        <w:jc w:val="center"/>
        <w:rPr>
          <w:rFonts w:ascii="方正小标宋简体" w:eastAsia="方正小标宋简体"/>
          <w:color w:val="000000"/>
          <w:sz w:val="44"/>
          <w:szCs w:val="44"/>
        </w:rPr>
      </w:pPr>
    </w:p>
    <w:p>
      <w:pPr>
        <w:spacing w:before="312" w:beforeLines="100" w:line="640" w:lineRule="exact"/>
        <w:jc w:val="center"/>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2025年9月</w:t>
      </w:r>
    </w:p>
    <w:p>
      <w:pPr>
        <w:rPr>
          <w:rFonts w:ascii="楷体_GB2312" w:hAnsi="楷体_GB2312" w:eastAsia="楷体_GB2312" w:cs="楷体_GB2312"/>
          <w:color w:val="000000"/>
          <w:sz w:val="36"/>
          <w:szCs w:val="36"/>
        </w:rPr>
        <w:sectPr>
          <w:footerReference r:id="rId3" w:type="default"/>
          <w:pgSz w:w="11906" w:h="16838"/>
          <w:pgMar w:top="1440" w:right="1417" w:bottom="1440" w:left="1417" w:header="851" w:footer="992" w:gutter="0"/>
          <w:pgNumType w:start="1"/>
          <w:cols w:space="425" w:num="1"/>
          <w:docGrid w:type="lines" w:linePitch="312" w:charSpace="0"/>
        </w:sectPr>
      </w:pPr>
    </w:p>
    <w:p>
      <w:pPr>
        <w:jc w:val="center"/>
        <w:rPr>
          <w:rFonts w:ascii="黑体" w:hAnsi="黑体" w:eastAsia="黑体" w:cs="黑体"/>
          <w:color w:val="000000"/>
          <w:sz w:val="36"/>
          <w:szCs w:val="36"/>
        </w:rPr>
      </w:pPr>
    </w:p>
    <w:p>
      <w:pPr>
        <w:jc w:val="center"/>
        <w:rPr>
          <w:rFonts w:ascii="黑体" w:hAnsi="黑体" w:eastAsia="黑体" w:cs="黑体"/>
          <w:color w:val="000000"/>
          <w:sz w:val="36"/>
          <w:szCs w:val="36"/>
        </w:rPr>
      </w:pPr>
      <w:r>
        <w:rPr>
          <w:rFonts w:hint="eastAsia" w:ascii="黑体" w:hAnsi="黑体" w:eastAsia="黑体" w:cs="黑体"/>
          <w:color w:val="000000"/>
          <w:sz w:val="36"/>
          <w:szCs w:val="36"/>
        </w:rPr>
        <w:t>目  录</w:t>
      </w:r>
    </w:p>
    <w:p>
      <w:pPr>
        <w:rPr>
          <w:rFonts w:ascii="黑体" w:hAnsi="黑体" w:eastAsia="黑体" w:cs="黑体"/>
          <w:color w:val="000000"/>
          <w:sz w:val="36"/>
          <w:szCs w:val="36"/>
        </w:rPr>
      </w:pPr>
    </w:p>
    <w:p>
      <w:pPr>
        <w:pStyle w:val="22"/>
        <w:tabs>
          <w:tab w:val="right" w:leader="dot" w:pos="9072"/>
        </w:tabs>
        <w:spacing w:line="560" w:lineRule="exact"/>
        <w:jc w:val="both"/>
        <w:rPr>
          <w:rFonts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TOC \o "1-1" \h \u </w:instrText>
      </w:r>
      <w:r>
        <w:rPr>
          <w:rFonts w:hint="eastAsia" w:ascii="仿宋" w:hAnsi="仿宋" w:eastAsia="仿宋" w:cs="仿宋"/>
          <w:color w:val="000000"/>
          <w:sz w:val="28"/>
          <w:szCs w:val="28"/>
        </w:rPr>
        <w:fldChar w:fldCharType="separate"/>
      </w:r>
      <w:r>
        <w:fldChar w:fldCharType="begin"/>
      </w:r>
      <w:r>
        <w:instrText xml:space="preserve"> HYPERLINK \l "_Toc11538" </w:instrText>
      </w:r>
      <w:r>
        <w:fldChar w:fldCharType="separate"/>
      </w:r>
      <w:r>
        <w:rPr>
          <w:rFonts w:hint="eastAsia" w:ascii="仿宋" w:hAnsi="仿宋" w:eastAsia="仿宋" w:cs="仿宋"/>
          <w:color w:val="000000"/>
          <w:sz w:val="28"/>
          <w:szCs w:val="28"/>
        </w:rPr>
        <w:t>一、新材料</w:t>
      </w:r>
      <w:r>
        <w:rPr>
          <w:rFonts w:hint="eastAsia" w:ascii="仿宋" w:hAnsi="仿宋" w:eastAsia="仿宋" w:cs="仿宋"/>
          <w:color w:val="000000"/>
          <w:sz w:val="28"/>
          <w:szCs w:val="28"/>
        </w:rPr>
        <w:tab/>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"_Toc32357" </w:instrText>
      </w:r>
      <w:r>
        <w:fldChar w:fldCharType="separate"/>
      </w:r>
      <w:r>
        <w:rPr>
          <w:rFonts w:hint="eastAsia" w:ascii="仿宋" w:hAnsi="仿宋" w:eastAsia="仿宋" w:cs="仿宋"/>
          <w:color w:val="000000"/>
          <w:sz w:val="28"/>
          <w:szCs w:val="28"/>
        </w:rPr>
        <w:t>二、新能源</w:t>
      </w:r>
      <w:r>
        <w:rPr>
          <w:rFonts w:hint="eastAsia" w:ascii="仿宋" w:hAnsi="仿宋" w:eastAsia="仿宋" w:cs="仿宋"/>
          <w:color w:val="000000"/>
          <w:sz w:val="28"/>
          <w:szCs w:val="28"/>
        </w:rPr>
        <w:tab/>
      </w:r>
      <w:r>
        <w:rPr>
          <w:rFonts w:hint="eastAsia" w:ascii="仿宋" w:hAnsi="仿宋" w:eastAsia="仿宋" w:cs="仿宋"/>
          <w:color w:val="000000"/>
          <w:sz w:val="28"/>
          <w:szCs w:val="28"/>
        </w:rPr>
        <w:t>4</w:t>
      </w:r>
      <w:r>
        <w:rPr>
          <w:rFonts w:hint="eastAsia" w:ascii="仿宋" w:hAnsi="仿宋" w:eastAsia="仿宋" w:cs="仿宋"/>
          <w:color w:val="000000"/>
          <w:sz w:val="28"/>
          <w:szCs w:val="28"/>
        </w:rPr>
        <w:fldChar w:fldCharType="end"/>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"_Toc29442" </w:instrText>
      </w:r>
      <w:r>
        <w:fldChar w:fldCharType="separate"/>
      </w:r>
      <w:r>
        <w:rPr>
          <w:rFonts w:hint="eastAsia" w:ascii="仿宋" w:hAnsi="仿宋" w:eastAsia="仿宋" w:cs="仿宋"/>
          <w:color w:val="000000"/>
          <w:sz w:val="28"/>
          <w:szCs w:val="28"/>
        </w:rPr>
        <w:t>三、现代装备制造</w:t>
      </w:r>
      <w:r>
        <w:rPr>
          <w:rFonts w:hint="eastAsia" w:ascii="仿宋" w:hAnsi="仿宋" w:eastAsia="仿宋" w:cs="仿宋"/>
          <w:color w:val="000000"/>
          <w:sz w:val="28"/>
          <w:szCs w:val="28"/>
        </w:rPr>
        <w:tab/>
      </w:r>
      <w:r>
        <w:rPr>
          <w:rFonts w:hint="eastAsia" w:ascii="仿宋" w:hAnsi="仿宋" w:eastAsia="仿宋" w:cs="仿宋"/>
          <w:color w:val="000000"/>
          <w:sz w:val="28"/>
          <w:szCs w:val="28"/>
        </w:rPr>
        <w:t>6</w:t>
      </w:r>
      <w:r>
        <w:rPr>
          <w:rFonts w:hint="eastAsia" w:ascii="仿宋" w:hAnsi="仿宋" w:eastAsia="仿宋" w:cs="仿宋"/>
          <w:color w:val="000000"/>
          <w:sz w:val="28"/>
          <w:szCs w:val="28"/>
        </w:rPr>
        <w:fldChar w:fldCharType="end"/>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"_Toc17821" </w:instrText>
      </w:r>
      <w:r>
        <w:fldChar w:fldCharType="separate"/>
      </w:r>
      <w:r>
        <w:rPr>
          <w:rFonts w:hint="eastAsia" w:ascii="仿宋" w:hAnsi="仿宋" w:eastAsia="仿宋" w:cs="仿宋"/>
          <w:color w:val="000000"/>
          <w:sz w:val="28"/>
          <w:szCs w:val="28"/>
        </w:rPr>
        <w:t>四、绿色冶金</w:t>
      </w:r>
      <w:r>
        <w:rPr>
          <w:rFonts w:hint="eastAsia" w:ascii="仿宋" w:hAnsi="仿宋" w:eastAsia="仿宋" w:cs="仿宋"/>
          <w:color w:val="000000"/>
          <w:sz w:val="28"/>
          <w:szCs w:val="28"/>
        </w:rPr>
        <w:tab/>
      </w:r>
      <w:r>
        <w:rPr>
          <w:rFonts w:hint="eastAsia" w:ascii="仿宋" w:hAnsi="仿宋" w:eastAsia="仿宋" w:cs="仿宋"/>
          <w:color w:val="000000"/>
          <w:sz w:val="28"/>
          <w:szCs w:val="28"/>
        </w:rPr>
        <w:t>8</w:t>
      </w:r>
      <w:r>
        <w:rPr>
          <w:rFonts w:hint="eastAsia" w:ascii="仿宋" w:hAnsi="仿宋" w:eastAsia="仿宋" w:cs="仿宋"/>
          <w:color w:val="000000"/>
          <w:sz w:val="28"/>
          <w:szCs w:val="28"/>
        </w:rPr>
        <w:fldChar w:fldCharType="end"/>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"_Toc15847" </w:instrText>
      </w:r>
      <w:r>
        <w:fldChar w:fldCharType="separate"/>
      </w:r>
      <w:r>
        <w:rPr>
          <w:rFonts w:hint="eastAsia" w:ascii="仿宋" w:hAnsi="仿宋" w:eastAsia="仿宋" w:cs="仿宋"/>
          <w:color w:val="000000"/>
          <w:sz w:val="28"/>
          <w:szCs w:val="28"/>
        </w:rPr>
        <w:t>五、现代化工</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11</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"_Toc16488" </w:instrText>
      </w:r>
      <w:r>
        <w:fldChar w:fldCharType="separate"/>
      </w:r>
      <w:r>
        <w:rPr>
          <w:rFonts w:hint="eastAsia" w:ascii="仿宋" w:hAnsi="仿宋" w:eastAsia="仿宋" w:cs="仿宋"/>
          <w:color w:val="000000"/>
          <w:sz w:val="28"/>
          <w:szCs w:val="28"/>
        </w:rPr>
        <w:t>六、数字经济</w:t>
      </w:r>
      <w:r>
        <w:rPr>
          <w:rFonts w:hint="eastAsia" w:ascii="仿宋" w:hAnsi="仿宋" w:eastAsia="仿宋" w:cs="仿宋"/>
          <w:color w:val="000000"/>
          <w:sz w:val="28"/>
          <w:szCs w:val="28"/>
        </w:rPr>
        <w:tab/>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2</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"_Toc29301" </w:instrText>
      </w:r>
      <w:r>
        <w:fldChar w:fldCharType="separate"/>
      </w:r>
      <w:r>
        <w:rPr>
          <w:rFonts w:hint="eastAsia" w:ascii="仿宋" w:hAnsi="仿宋" w:eastAsia="仿宋" w:cs="仿宋"/>
          <w:color w:val="000000"/>
          <w:sz w:val="28"/>
          <w:szCs w:val="28"/>
        </w:rPr>
        <w:t>七、科技文化融合</w:t>
      </w:r>
      <w:r>
        <w:rPr>
          <w:rFonts w:hint="eastAsia" w:ascii="仿宋" w:hAnsi="仿宋" w:eastAsia="仿宋" w:cs="仿宋"/>
          <w:color w:val="000000"/>
          <w:sz w:val="28"/>
          <w:szCs w:val="28"/>
        </w:rPr>
        <w:tab/>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6</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"_Toc28829" </w:instrText>
      </w:r>
      <w:r>
        <w:fldChar w:fldCharType="separate"/>
      </w:r>
      <w:r>
        <w:rPr>
          <w:rFonts w:hint="eastAsia" w:ascii="仿宋" w:hAnsi="仿宋" w:eastAsia="仿宋" w:cs="仿宋"/>
          <w:color w:val="000000"/>
          <w:sz w:val="28"/>
          <w:szCs w:val="28"/>
        </w:rPr>
        <w:t>八、种业创新工程</w:t>
      </w:r>
      <w:r>
        <w:rPr>
          <w:rFonts w:hint="eastAsia" w:ascii="仿宋" w:hAnsi="仿宋" w:eastAsia="仿宋" w:cs="仿宋"/>
          <w:color w:val="000000"/>
          <w:sz w:val="28"/>
          <w:szCs w:val="28"/>
        </w:rPr>
        <w:tab/>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7</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"_Toc31179" </w:instrText>
      </w:r>
      <w:r>
        <w:fldChar w:fldCharType="separate"/>
      </w:r>
      <w:r>
        <w:rPr>
          <w:rFonts w:hint="eastAsia" w:ascii="仿宋" w:hAnsi="仿宋" w:eastAsia="仿宋" w:cs="仿宋"/>
          <w:color w:val="000000"/>
          <w:sz w:val="28"/>
          <w:szCs w:val="28"/>
        </w:rPr>
        <w:t>九、绿色种养</w:t>
      </w:r>
      <w:r>
        <w:rPr>
          <w:rFonts w:hint="eastAsia" w:ascii="仿宋" w:hAnsi="仿宋" w:eastAsia="仿宋" w:cs="仿宋"/>
          <w:color w:val="000000"/>
          <w:sz w:val="28"/>
          <w:szCs w:val="28"/>
        </w:rPr>
        <w:tab/>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9</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"_Toc27458" </w:instrText>
      </w:r>
      <w:r>
        <w:fldChar w:fldCharType="separate"/>
      </w:r>
      <w:r>
        <w:rPr>
          <w:rFonts w:hint="eastAsia" w:ascii="仿宋" w:hAnsi="仿宋" w:eastAsia="仿宋" w:cs="仿宋"/>
          <w:color w:val="000000"/>
          <w:sz w:val="28"/>
          <w:szCs w:val="28"/>
        </w:rPr>
        <w:t>十、智慧农牧业</w:t>
      </w:r>
      <w:r>
        <w:rPr>
          <w:rFonts w:hint="eastAsia" w:ascii="仿宋" w:hAnsi="仿宋" w:eastAsia="仿宋" w:cs="仿宋"/>
          <w:color w:val="000000"/>
          <w:sz w:val="28"/>
          <w:szCs w:val="28"/>
        </w:rPr>
        <w:tab/>
      </w:r>
      <w:r>
        <w:rPr>
          <w:rFonts w:hint="eastAsia" w:ascii="仿宋" w:hAnsi="仿宋" w:eastAsia="仿宋" w:cs="仿宋"/>
          <w:color w:val="000000"/>
          <w:sz w:val="28"/>
          <w:szCs w:val="28"/>
        </w:rPr>
        <w:t>2</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0</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"_Toc26636" </w:instrText>
      </w:r>
      <w:r>
        <w:fldChar w:fldCharType="separate"/>
      </w:r>
      <w:r>
        <w:rPr>
          <w:rFonts w:hint="eastAsia" w:ascii="仿宋" w:hAnsi="仿宋" w:eastAsia="仿宋" w:cs="仿宋"/>
          <w:color w:val="000000"/>
          <w:sz w:val="28"/>
          <w:szCs w:val="28"/>
        </w:rPr>
        <w:t>十一、农畜产品生产加工</w:t>
      </w:r>
      <w:r>
        <w:rPr>
          <w:rFonts w:hint="eastAsia" w:ascii="仿宋" w:hAnsi="仿宋" w:eastAsia="仿宋" w:cs="仿宋"/>
          <w:color w:val="000000"/>
          <w:sz w:val="28"/>
          <w:szCs w:val="28"/>
        </w:rPr>
        <w:tab/>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21</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"_Toc21904" </w:instrText>
      </w:r>
      <w:r>
        <w:fldChar w:fldCharType="separate"/>
      </w:r>
      <w:r>
        <w:rPr>
          <w:rFonts w:hint="eastAsia" w:ascii="仿宋" w:hAnsi="仿宋" w:eastAsia="仿宋" w:cs="仿宋"/>
          <w:color w:val="000000"/>
          <w:sz w:val="28"/>
          <w:szCs w:val="28"/>
        </w:rPr>
        <w:t>十二、重点区域生态保护与修复</w:t>
      </w:r>
      <w:r>
        <w:rPr>
          <w:rFonts w:hint="eastAsia" w:ascii="仿宋" w:hAnsi="仿宋" w:eastAsia="仿宋" w:cs="仿宋"/>
          <w:color w:val="000000"/>
          <w:sz w:val="28"/>
          <w:szCs w:val="28"/>
        </w:rPr>
        <w:tab/>
      </w:r>
      <w:r>
        <w:rPr>
          <w:rFonts w:hint="eastAsia" w:ascii="仿宋" w:hAnsi="仿宋" w:eastAsia="仿宋" w:cs="仿宋"/>
          <w:color w:val="000000"/>
          <w:sz w:val="28"/>
          <w:szCs w:val="28"/>
        </w:rPr>
        <w:t>2</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1</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"_Toc6925" </w:instrText>
      </w:r>
      <w:r>
        <w:fldChar w:fldCharType="separate"/>
      </w:r>
      <w:r>
        <w:rPr>
          <w:rFonts w:hint="eastAsia" w:ascii="仿宋" w:hAnsi="仿宋" w:eastAsia="仿宋" w:cs="仿宋"/>
          <w:color w:val="000000"/>
          <w:sz w:val="28"/>
          <w:szCs w:val="28"/>
        </w:rPr>
        <w:t>十三、污染防治</w:t>
      </w:r>
      <w:r>
        <w:rPr>
          <w:rFonts w:hint="eastAsia" w:ascii="仿宋" w:hAnsi="仿宋" w:eastAsia="仿宋" w:cs="仿宋"/>
          <w:color w:val="000000"/>
          <w:sz w:val="28"/>
          <w:szCs w:val="28"/>
        </w:rPr>
        <w:tab/>
      </w:r>
      <w:r>
        <w:rPr>
          <w:rFonts w:hint="eastAsia" w:ascii="仿宋" w:hAnsi="仿宋" w:eastAsia="仿宋" w:cs="仿宋"/>
          <w:color w:val="000000"/>
          <w:sz w:val="28"/>
          <w:szCs w:val="28"/>
        </w:rPr>
        <w:t>2</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3</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"_Toc13165" </w:instrText>
      </w:r>
      <w:r>
        <w:fldChar w:fldCharType="separate"/>
      </w:r>
      <w:r>
        <w:rPr>
          <w:rFonts w:hint="eastAsia" w:ascii="仿宋" w:hAnsi="仿宋" w:eastAsia="仿宋" w:cs="仿宋"/>
          <w:color w:val="000000"/>
          <w:sz w:val="28"/>
          <w:szCs w:val="28"/>
        </w:rPr>
        <w:t>十四、资源节约集约利用</w:t>
      </w:r>
      <w:r>
        <w:rPr>
          <w:rFonts w:hint="eastAsia" w:ascii="仿宋" w:hAnsi="仿宋" w:eastAsia="仿宋" w:cs="仿宋"/>
          <w:color w:val="000000"/>
          <w:sz w:val="28"/>
          <w:szCs w:val="28"/>
        </w:rPr>
        <w:tab/>
      </w:r>
      <w:r>
        <w:rPr>
          <w:rFonts w:hint="eastAsia" w:ascii="仿宋" w:hAnsi="仿宋" w:eastAsia="仿宋" w:cs="仿宋"/>
          <w:color w:val="000000"/>
          <w:sz w:val="28"/>
          <w:szCs w:val="28"/>
        </w:rPr>
        <w:t>2</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4</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"_Toc14069" </w:instrText>
      </w:r>
      <w:r>
        <w:fldChar w:fldCharType="separate"/>
      </w:r>
      <w:r>
        <w:rPr>
          <w:rFonts w:hint="eastAsia" w:ascii="仿宋" w:hAnsi="仿宋" w:eastAsia="仿宋" w:cs="仿宋"/>
          <w:color w:val="000000"/>
          <w:sz w:val="28"/>
          <w:szCs w:val="28"/>
        </w:rPr>
        <w:t>十五、应对气候变化</w:t>
      </w:r>
      <w:r>
        <w:rPr>
          <w:rFonts w:hint="eastAsia" w:ascii="仿宋" w:hAnsi="仿宋" w:eastAsia="仿宋" w:cs="仿宋"/>
          <w:color w:val="000000"/>
          <w:sz w:val="28"/>
          <w:szCs w:val="28"/>
        </w:rPr>
        <w:tab/>
      </w:r>
      <w:r>
        <w:rPr>
          <w:rFonts w:hint="eastAsia" w:ascii="仿宋" w:hAnsi="仿宋" w:eastAsia="仿宋" w:cs="仿宋"/>
          <w:color w:val="000000"/>
          <w:sz w:val="28"/>
          <w:szCs w:val="28"/>
        </w:rPr>
        <w:t>2</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4</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"_Toc28885" </w:instrText>
      </w:r>
      <w:r>
        <w:fldChar w:fldCharType="separate"/>
      </w:r>
      <w:r>
        <w:rPr>
          <w:rFonts w:hint="eastAsia" w:ascii="仿宋" w:hAnsi="仿宋" w:eastAsia="仿宋" w:cs="仿宋"/>
          <w:color w:val="000000"/>
          <w:sz w:val="28"/>
          <w:szCs w:val="28"/>
        </w:rPr>
        <w:t>十六、医药产业</w:t>
      </w:r>
      <w:r>
        <w:rPr>
          <w:rFonts w:hint="eastAsia" w:ascii="仿宋" w:hAnsi="仿宋" w:eastAsia="仿宋" w:cs="仿宋"/>
          <w:color w:val="000000"/>
          <w:sz w:val="28"/>
          <w:szCs w:val="28"/>
        </w:rPr>
        <w:tab/>
      </w:r>
      <w:r>
        <w:rPr>
          <w:rFonts w:hint="eastAsia" w:ascii="仿宋" w:hAnsi="仿宋" w:eastAsia="仿宋" w:cs="仿宋"/>
          <w:color w:val="000000"/>
          <w:sz w:val="28"/>
          <w:szCs w:val="28"/>
        </w:rPr>
        <w:t>2</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5</w:t>
      </w:r>
    </w:p>
    <w:p>
      <w:pPr>
        <w:pStyle w:val="22"/>
        <w:tabs>
          <w:tab w:val="right" w:leader="dot" w:pos="9072"/>
        </w:tabs>
        <w:spacing w:line="560" w:lineRule="exact"/>
        <w:rPr>
          <w:rFonts w:ascii="仿宋" w:hAnsi="仿宋" w:eastAsia="仿宋" w:cs="仿宋"/>
          <w:color w:val="000000"/>
          <w:sz w:val="28"/>
          <w:szCs w:val="28"/>
        </w:rPr>
      </w:pPr>
      <w:r>
        <w:fldChar w:fldCharType="begin"/>
      </w:r>
      <w:r>
        <w:instrText xml:space="preserve"> HYPERLINK \l "_Toc13947" </w:instrText>
      </w:r>
      <w:r>
        <w:fldChar w:fldCharType="separate"/>
      </w:r>
      <w:r>
        <w:rPr>
          <w:rFonts w:hint="eastAsia" w:ascii="仿宋" w:hAnsi="仿宋" w:eastAsia="仿宋" w:cs="仿宋"/>
          <w:color w:val="000000"/>
          <w:sz w:val="28"/>
          <w:szCs w:val="28"/>
        </w:rPr>
        <w:t>十七、绿色生物制造</w:t>
      </w:r>
      <w:r>
        <w:rPr>
          <w:rFonts w:hint="eastAsia" w:ascii="仿宋" w:hAnsi="仿宋" w:eastAsia="仿宋" w:cs="仿宋"/>
          <w:color w:val="000000"/>
          <w:sz w:val="28"/>
          <w:szCs w:val="28"/>
        </w:rPr>
        <w:tab/>
      </w:r>
      <w:r>
        <w:rPr>
          <w:rFonts w:hint="eastAsia" w:ascii="仿宋" w:hAnsi="仿宋" w:eastAsia="仿宋" w:cs="仿宋"/>
          <w:color w:val="000000"/>
          <w:sz w:val="28"/>
          <w:szCs w:val="28"/>
        </w:rPr>
        <w:t>2</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6</w:t>
      </w:r>
    </w:p>
    <w:p>
      <w:pPr>
        <w:spacing w:before="312" w:beforeLines="100" w:line="640" w:lineRule="exact"/>
        <w:rPr>
          <w:rFonts w:ascii="华文中宋" w:hAnsi="华文中宋" w:eastAsia="华文中宋"/>
          <w:b/>
          <w:sz w:val="44"/>
          <w:szCs w:val="44"/>
        </w:rPr>
      </w:pPr>
      <w:r>
        <w:rPr>
          <w:rFonts w:hint="eastAsia" w:ascii="仿宋" w:hAnsi="仿宋" w:eastAsia="仿宋" w:cs="仿宋"/>
          <w:color w:val="000000"/>
          <w:sz w:val="28"/>
          <w:szCs w:val="28"/>
        </w:rPr>
        <w:fldChar w:fldCharType="end"/>
      </w:r>
    </w:p>
    <w:p>
      <w:pPr>
        <w:spacing w:before="312" w:beforeLines="100" w:line="640" w:lineRule="exact"/>
        <w:jc w:val="center"/>
        <w:rPr>
          <w:rFonts w:ascii="华文中宋" w:hAnsi="华文中宋" w:eastAsia="华文中宋"/>
          <w:b/>
          <w:sz w:val="44"/>
          <w:szCs w:val="44"/>
        </w:rPr>
      </w:pPr>
    </w:p>
    <w:p>
      <w:pPr>
        <w:spacing w:line="660" w:lineRule="exact"/>
        <w:ind w:firstLine="640" w:firstLineChars="200"/>
        <w:rPr>
          <w:rFonts w:ascii="黑体" w:hAnsi="黑体" w:eastAsia="黑体"/>
          <w:sz w:val="32"/>
          <w:szCs w:val="32"/>
        </w:rPr>
        <w:sectPr>
          <w:footerReference r:id="rId4" w:type="default"/>
          <w:pgSz w:w="11906" w:h="16838"/>
          <w:pgMar w:top="1440" w:right="1417" w:bottom="1440" w:left="1417" w:header="851" w:footer="992" w:gutter="0"/>
          <w:pgNumType w:start="1"/>
          <w:cols w:space="425" w:num="1"/>
          <w:docGrid w:type="lines" w:linePitch="312" w:charSpace="0"/>
        </w:sectPr>
      </w:pPr>
      <w:bookmarkStart w:id="0" w:name="_Toc179363094"/>
      <w:bookmarkStart w:id="1" w:name="_Toc179363090"/>
      <w:bookmarkStart w:id="2" w:name="_Toc23147"/>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一、新材料</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研究方向1（指南代码D1101）：寒区低碳建材与道路工程材料开发</w:t>
      </w:r>
    </w:p>
    <w:p>
      <w:pPr>
        <w:spacing w:line="620" w:lineRule="exact"/>
        <w:ind w:firstLine="640" w:firstLineChars="200"/>
        <w:rPr>
          <w:rFonts w:ascii="仿宋_GB2312" w:hAnsi="仿宋_GB2312" w:eastAsia="仿宋_GB2312" w:cs="仿宋_GB2312"/>
          <w:bCs/>
          <w:sz w:val="32"/>
          <w:szCs w:val="36"/>
        </w:rPr>
      </w:pPr>
      <w:r>
        <w:rPr>
          <w:rFonts w:hint="eastAsia" w:ascii="仿宋_GB2312" w:hAnsi="仿宋_GB2312" w:eastAsia="仿宋_GB2312" w:cs="仿宋_GB2312"/>
          <w:bCs/>
          <w:sz w:val="32"/>
          <w:szCs w:val="36"/>
        </w:rPr>
        <w:t>研究内容：面向内蒙古高寒、季冻区特殊环境，研发零能耗动态辐射控温涂料与TRC-FRP协同增强材料体系。重点突破涂层宽光谱动态调控、沙漠砂TRC材料多尺度设计、FRP筋-混凝土界面增强等关键技术，开发适用于建筑节能与桥梁性能提升的新型材料与结构体系，形成设计方法并开展工程示范，实现基础设施低碳长效维护与建筑近零能耗目标。</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研究方向2（指南代码D1102）：寒区相变储能多场景协同技术研究</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sz w:val="32"/>
          <w:szCs w:val="36"/>
        </w:rPr>
        <w:t>面向寒区基础设施低碳化与抗冻需求，研发高效相变储热材料，提升寒区大棚供暖系统能效。耦合超疏水表面与相变材料，开发沥青路面冻融循环协调防护技术；集成相变储能原理，突破高寒公路交通设施冻害长效防护技术，通过材料-系统-工程多尺度创新，形成寒区多元相变储能技术体系，推动低碳供暖与冻害协同发展。</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研究方向3（指南代码D1103）：环境修复功能材料制备关键技术研发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研究内容：面向自治区</w:t>
      </w:r>
      <w:r>
        <w:rPr>
          <w:rFonts w:hint="eastAsia" w:ascii="仿宋_GB2312" w:hAnsi="仿宋_GB2312" w:eastAsia="仿宋_GB2312" w:cs="仿宋_GB2312"/>
          <w:bCs/>
          <w:sz w:val="32"/>
          <w:szCs w:val="32"/>
        </w:rPr>
        <w:t>矿区污染治理</w:t>
      </w:r>
      <w:r>
        <w:rPr>
          <w:rFonts w:hint="eastAsia" w:ascii="仿宋_GB2312" w:hAnsi="仿宋_GB2312" w:eastAsia="仿宋_GB2312" w:cs="仿宋_GB2312"/>
          <w:sz w:val="32"/>
          <w:szCs w:val="32"/>
        </w:rPr>
        <w:t>及沙地生态退化等突出问题，研发</w:t>
      </w:r>
      <w:r>
        <w:rPr>
          <w:rFonts w:hint="eastAsia" w:ascii="仿宋_GB2312" w:hAnsi="仿宋_GB2312" w:eastAsia="仿宋_GB2312" w:cs="仿宋_GB2312"/>
          <w:bCs/>
          <w:sz w:val="32"/>
          <w:szCs w:val="32"/>
        </w:rPr>
        <w:t>新型环境材料</w:t>
      </w:r>
      <w:r>
        <w:rPr>
          <w:rFonts w:hint="eastAsia" w:ascii="仿宋_GB2312" w:hAnsi="仿宋_GB2312" w:eastAsia="仿宋_GB2312" w:cs="仿宋_GB2312"/>
          <w:sz w:val="32"/>
          <w:szCs w:val="32"/>
        </w:rPr>
        <w:t>及生态修复材料。重点突破</w:t>
      </w:r>
      <w:r>
        <w:rPr>
          <w:rFonts w:hint="eastAsia" w:ascii="仿宋_GB2312" w:hAnsi="仿宋_GB2312" w:eastAsia="仿宋_GB2312" w:cs="仿宋_GB2312"/>
          <w:bCs/>
          <w:sz w:val="32"/>
          <w:szCs w:val="32"/>
        </w:rPr>
        <w:t>微塑料高效去除、污染物多级阻控、</w:t>
      </w:r>
      <w:r>
        <w:rPr>
          <w:rFonts w:hint="eastAsia" w:ascii="仿宋_GB2312" w:hAnsi="仿宋_GB2312" w:eastAsia="仿宋_GB2312" w:cs="仿宋_GB2312"/>
          <w:sz w:val="32"/>
          <w:szCs w:val="32"/>
        </w:rPr>
        <w:t>冻融-盐碱双重侵蚀下结构韧性提升、沙地水土保持与生态修复等关键技术，形成适用于自治区特殊环境的高性能修复体系与解决方案，并推广应用。</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研究方向4（指南代码D1104）：</w:t>
      </w:r>
      <w:r>
        <w:rPr>
          <w:rFonts w:hint="eastAsia" w:ascii="仿宋_GB2312" w:hAnsi="仿宋_GB2312" w:eastAsia="仿宋_GB2312" w:cs="仿宋_GB2312"/>
          <w:bCs/>
          <w:sz w:val="32"/>
          <w:szCs w:val="32"/>
        </w:rPr>
        <w:t>新型铝合金材料制备技术研发</w:t>
      </w:r>
    </w:p>
    <w:p>
      <w:pPr>
        <w:spacing w:line="620" w:lineRule="exact"/>
        <w:ind w:firstLine="640" w:firstLineChars="200"/>
        <w:rPr>
          <w:rFonts w:ascii="仿宋_GB2312" w:hAnsi="仿宋_GB2312" w:eastAsia="仿宋_GB2312" w:cs="仿宋_GB2312"/>
          <w:bCs/>
          <w:sz w:val="32"/>
          <w:szCs w:val="36"/>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sz w:val="32"/>
          <w:szCs w:val="36"/>
        </w:rPr>
        <w:t>针对航空航天、国防装备、新能源汽车等领域的对新型高端铝合金材料的应用需求，开发高性能增材制造专用含钪铝合金粉末材料和挤压变形铝合金结构件制备技术，揭示其成形性能的和内在作用机制和影响规律，并形成配套工艺。实现相关技术在区域装备制造领域中典型粉体材料制备和结构件的加工制造技术应用。</w:t>
      </w:r>
    </w:p>
    <w:p>
      <w:pPr>
        <w:tabs>
          <w:tab w:val="left" w:pos="312"/>
        </w:tabs>
        <w:spacing w:line="620"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研究方向5（指南代码D1105）：</w:t>
      </w:r>
      <w:r>
        <w:rPr>
          <w:rFonts w:hint="eastAsia" w:ascii="仿宋_GB2312" w:hAnsi="仿宋_GB2312" w:eastAsia="仿宋_GB2312" w:cs="仿宋_GB2312"/>
          <w:bCs/>
          <w:sz w:val="32"/>
          <w:szCs w:val="32"/>
        </w:rPr>
        <w:t>新型储能关键材料研发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snapToGrid w:val="0"/>
          <w:sz w:val="32"/>
          <w:szCs w:val="36"/>
        </w:rPr>
        <w:t>针对高性能储能装置用关键材料实际需求，进行电极材料、隔膜材料的研发、量产与规模化应用，通过前驱体优化与结构调控、材料设计、制备工艺优化等措施，开发高能量密度、</w:t>
      </w:r>
      <w:r>
        <w:rPr>
          <w:rFonts w:hint="eastAsia" w:ascii="仿宋_GB2312" w:hAnsi="仿宋_GB2312" w:eastAsia="仿宋_GB2312" w:cs="仿宋_GB2312"/>
          <w:sz w:val="32"/>
          <w:szCs w:val="32"/>
        </w:rPr>
        <w:t>高功率密度、</w:t>
      </w:r>
      <w:r>
        <w:rPr>
          <w:rFonts w:hint="eastAsia" w:ascii="仿宋_GB2312" w:hAnsi="仿宋_GB2312" w:eastAsia="仿宋_GB2312" w:cs="仿宋_GB2312"/>
          <w:bCs/>
          <w:snapToGrid w:val="0"/>
          <w:sz w:val="32"/>
          <w:szCs w:val="36"/>
        </w:rPr>
        <w:t>低成本的储能关键材料，并实现相关技术升级与产业化示范应用。</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研究方向6（指南代码D1106）：高性能钢铁材料绿色制备与多相组织调控关键技术研发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sz w:val="32"/>
          <w:szCs w:val="36"/>
        </w:rPr>
        <w:t>聚焦高性能钢材绿色制备与组织性能调控，重点突破微合金化协同作用机制，制备高扩孔钢多相组织精准调控技术；攻克吉帕级超高强度钢工艺及强韧化平衡难题；优化铁基粉末冶金零部件烧结致密化与力学性能；集成钢关键制备技术并推动产业化。通过技术融合，实现钢材料强度、塑性、成型性及耐蚀性的协同提升，形成覆盖高端装备制造需求的技术体系。</w:t>
      </w:r>
    </w:p>
    <w:p>
      <w:pPr>
        <w:tabs>
          <w:tab w:val="left" w:pos="312"/>
        </w:tabs>
        <w:spacing w:line="620"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研究方向7（指南代码D1107）：</w:t>
      </w:r>
      <w:r>
        <w:rPr>
          <w:rFonts w:hint="eastAsia" w:ascii="仿宋_GB2312" w:hAnsi="仿宋_GB2312" w:eastAsia="仿宋_GB2312" w:cs="仿宋_GB2312"/>
          <w:bCs/>
          <w:sz w:val="32"/>
          <w:szCs w:val="32"/>
        </w:rPr>
        <w:t>高性能有色金属合金材料制备技术研发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snapToGrid w:val="0"/>
          <w:color w:val="000000"/>
          <w:sz w:val="32"/>
          <w:szCs w:val="36"/>
        </w:rPr>
        <w:t>围绕国防及核工业用铜合金、新能源汽车用高性能铝合金及低成本再生铝提纯等领域的需求，进行铝、铜合金技术研究、多元协同作用机制研究和关键材料制备技术研发等工作，开发设计出具备强度、韧性、导热性、导电性等性能提升的铝、铜合金，并进一步师范应用。</w:t>
      </w:r>
    </w:p>
    <w:p>
      <w:pPr>
        <w:tabs>
          <w:tab w:val="left" w:pos="312"/>
        </w:tabs>
        <w:spacing w:line="620"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研究方向8（指南代码D1108）：</w:t>
      </w:r>
      <w:r>
        <w:rPr>
          <w:rFonts w:hint="eastAsia" w:ascii="仿宋_GB2312" w:hAnsi="仿宋_GB2312" w:eastAsia="仿宋_GB2312" w:cs="仿宋_GB2312"/>
          <w:bCs/>
          <w:sz w:val="32"/>
          <w:szCs w:val="32"/>
        </w:rPr>
        <w:t>区域特色固废协同处置研究</w:t>
      </w:r>
    </w:p>
    <w:p>
      <w:pPr>
        <w:tabs>
          <w:tab w:val="left" w:pos="312"/>
        </w:tabs>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sz w:val="32"/>
          <w:szCs w:val="32"/>
        </w:rPr>
        <w:t>结合内蒙古地区严寒气候与资源禀赋，开展泥沙基胶凝材料、煤制气残渣、废旧轮胎/地膜纤维等区域特色固废的资源化利用技术研究。重点突破高掺量胶结充填、高强混凝土、多品种氧化铝等产业化关键技术，并开展工程示范。</w:t>
      </w:r>
    </w:p>
    <w:p>
      <w:pPr>
        <w:tabs>
          <w:tab w:val="left" w:pos="312"/>
        </w:tabs>
        <w:spacing w:line="620"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研究方向9（指南代码D1109）：</w:t>
      </w:r>
      <w:r>
        <w:rPr>
          <w:rFonts w:hint="eastAsia" w:ascii="仿宋_GB2312" w:hAnsi="仿宋_GB2312" w:eastAsia="仿宋_GB2312" w:cs="仿宋_GB2312"/>
          <w:bCs/>
          <w:sz w:val="32"/>
          <w:szCs w:val="32"/>
        </w:rPr>
        <w:t>新型合金材料加工技术研发</w:t>
      </w:r>
    </w:p>
    <w:p>
      <w:pPr>
        <w:tabs>
          <w:tab w:val="left" w:pos="312"/>
        </w:tabs>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sz w:val="32"/>
          <w:szCs w:val="36"/>
        </w:rPr>
        <w:t>针对低空领域关键零部件用高温合金、增材制造用合金材料的制备及关键零部件的增材制造成型技术需求，开展轻质高强金属材料及部件、合金粉体材料及线材的制备及加工成型技术研发，开展金属材料制造工艺、组织结构、成形质量与力学性能等一体化研究，实现相关技术在区域装备制造领域中典型构件的加工制造技术应用。</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说明：此领域研究方向1、2、5、6、8由企业牵头申报。</w:t>
      </w:r>
    </w:p>
    <w:p>
      <w:pPr>
        <w:spacing w:line="620" w:lineRule="exact"/>
        <w:ind w:firstLine="642" w:firstLineChars="200"/>
        <w:rPr>
          <w:rFonts w:ascii="黑体" w:hAnsi="黑体" w:eastAsia="黑体" w:cs="黑体"/>
          <w:b/>
          <w:sz w:val="32"/>
          <w:szCs w:val="32"/>
        </w:rPr>
      </w:pPr>
      <w:r>
        <w:rPr>
          <w:rFonts w:hint="eastAsia" w:ascii="黑体" w:hAnsi="黑体" w:eastAsia="黑体" w:cs="黑体"/>
          <w:b/>
          <w:sz w:val="32"/>
          <w:szCs w:val="32"/>
        </w:rPr>
        <w:t>二、新能源</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研究方向1（指南代码D1201）：沉积型矿产协同成矿（藏）机理与</w:t>
      </w:r>
      <w:bookmarkStart w:id="3" w:name="_Hlk202254284"/>
      <w:r>
        <w:rPr>
          <w:rFonts w:hint="eastAsia" w:ascii="仿宋_GB2312" w:hAnsi="仿宋_GB2312" w:eastAsia="仿宋_GB2312" w:cs="仿宋_GB2312"/>
          <w:b/>
          <w:sz w:val="32"/>
          <w:szCs w:val="32"/>
        </w:rPr>
        <w:t>绿色勘查技术</w:t>
      </w:r>
      <w:bookmarkEnd w:id="3"/>
      <w:r>
        <w:rPr>
          <w:rFonts w:hint="eastAsia" w:ascii="仿宋_GB2312" w:hAnsi="仿宋_GB2312" w:eastAsia="仿宋_GB2312" w:cs="仿宋_GB2312"/>
          <w:b/>
          <w:sz w:val="32"/>
          <w:szCs w:val="32"/>
        </w:rPr>
        <w:t xml:space="preserve">研发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攻克沉积型多矿产协同成矿机理不清的关键科技难题，综合运用地质-地球物理-地球化学等多学科手段，揭示其沉积环境、共生关系与富集规律，创新构建沉积型多矿产绿色协同勘查技术体系，精准预测有利区带，为自治区战略资源绿色安全勘探开发提供核心理论与技术支撑。</w:t>
      </w:r>
    </w:p>
    <w:p>
      <w:pPr>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研究方向2（指南代码D1202）：退役风电叶片高效处理关键技术研发</w:t>
      </w:r>
    </w:p>
    <w:p>
      <w:pPr>
        <w:spacing w:line="6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研究内容：开展退役风电叶片高效热解关键技术研究，探索不同催化剂对热解的影响，控制气体产物；研发热解气净化与甲烷制备一体化关键技术；研发热解油加氢脱氧制备高品质油关键技术。实现退役风电叶片资源化高效利用，完成示范应用。</w:t>
      </w:r>
    </w:p>
    <w:p>
      <w:pPr>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研究方向3（指南代码D1203）：大型风力发电机关键部件研发</w:t>
      </w:r>
    </w:p>
    <w:p>
      <w:pPr>
        <w:spacing w:line="6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研究内容：开展新型风电叶片、风电塔筒关键部件研发，新材料制备风电叶片连接部件关键技术研发，开发面向沙戈荒环境的大型风电叶片可靠性设计优化软件平台，进行示范应用，全面提升大型风电机组可靠性、安全性。</w:t>
      </w:r>
    </w:p>
    <w:p>
      <w:pPr>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研究方向4（指南代码D1204）：新型电力系统下长时储能协同的电网韧性提升关键技术研究</w:t>
      </w:r>
    </w:p>
    <w:p>
      <w:pPr>
        <w:spacing w:line="6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研究内容：研发高密度、宽温域新型储热材料，研制基于绿电谷电制热储热设备，构建多元电-热调节资源聚合模型及负荷资源深度协同方法；研究新能源功率品质分级方法，基于电网韧性提升的电网-热网耦合调控技术，提出考虑寒地环境约束的电网-热网协同调控策略与运营机制；构建基于新型电力市场交易与网荷互动调控平台及工程应用示范。</w:t>
      </w:r>
    </w:p>
    <w:p>
      <w:pPr>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研究方向5（指南代码D1205）：构网型储能柔性互联关键技术研究</w:t>
      </w:r>
    </w:p>
    <w:p>
      <w:pPr>
        <w:spacing w:line="6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研究内容：储能柔性互联系统多模式运行构网控制技术和策略研究；研究构网控制下储能柔性互联系统与电网接口电压鲁棒性控制方法，提升电网的频率及电压支撑能力；研发适用于不同电压等级的构网型储能柔性互联装置以及双端协同控制系统，并进行多模式现场验证与应用，实现多端电网跨电压等级互联互济，提升可再生能源友好并网运行水平。</w:t>
      </w:r>
    </w:p>
    <w:p>
      <w:pPr>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研究方向6（指南代码D1206）：基于室温高容量的固气耦合储氢系统研发</w:t>
      </w:r>
    </w:p>
    <w:p>
      <w:pPr>
        <w:spacing w:line="6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研究内容：开展高熵长寿命高容量固态储氢材料和装置关键技术研究；探究吸放氢动力学与传热特性，研发固态与气态耦合储氢技术，攻克固-气耦合储氢的协同控制与热管理难题，实现储氢方式的高效转换与动态平衡，提升储放效率及热控性能；研发高可调高密度模块化的固-气耦合储氢系统并实现固态储氢装置的转化应用。</w:t>
      </w:r>
    </w:p>
    <w:p>
      <w:pPr>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研究方向7（指南代码D1207）：考虑多尺度源荷预测的新能源容量配置研究</w:t>
      </w:r>
    </w:p>
    <w:p>
      <w:pPr>
        <w:spacing w:line="6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研究内容：研究风电光伏发电的间歇性和不确定性对供电可靠性影响。建立多源多尺度数据的差异化处理和深度学习预测技术。考虑不确定性因素对新能源风光互补容量优化配置以及储能配置的研究。建立风光功率预测、负荷预测与容量配置的耦合方案。特殊环境下预测预测-交易协同-新能源消纳的关联应用。</w:t>
      </w:r>
    </w:p>
    <w:p>
      <w:pPr>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研究方向8（指南代码D1208）：基于人工智能技术的新能源电站在线实时巡检</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基于边缘智能技术，研发适用于内蒙古新能源电站的在线实时智能巡检系统，实现设备故障精准诊断、实时预警、极端环境适应（-30℃~60℃稳定运行）和智能运维决策，推动新能源电站数字化转型。研发新能源电站的嵌入式环境人工智能巡检算法，开发高寒沙尘环境适应性算法与硬件方案；优化巡检路径与运维策略。</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说明：此领域研究方向全部由企业牵头申报。</w:t>
      </w:r>
    </w:p>
    <w:p>
      <w:pPr>
        <w:spacing w:line="620" w:lineRule="exact"/>
        <w:ind w:firstLine="642" w:firstLineChars="200"/>
        <w:rPr>
          <w:rFonts w:ascii="黑体" w:hAnsi="黑体" w:eastAsia="黑体" w:cs="黑体"/>
          <w:b/>
          <w:sz w:val="32"/>
          <w:szCs w:val="32"/>
        </w:rPr>
      </w:pPr>
      <w:r>
        <w:rPr>
          <w:rFonts w:hint="eastAsia" w:ascii="黑体" w:hAnsi="黑体" w:eastAsia="黑体" w:cs="黑体"/>
          <w:b/>
          <w:sz w:val="32"/>
          <w:szCs w:val="32"/>
        </w:rPr>
        <w:t>三、现代装备制造</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研究方向1（指南代码D1301）：极寒气候条件下矿用自卸车关键技术研发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针对极寒气候环境下矿用自卸车全天候可靠作业关键技术问题，采用进气和燃油双通道预热策略，快速提升发动机核心温度，开发低温启动保障系统；研发耐寒材料应用及制造工艺优化，提升其低温性能；构建多模态传感器选型与融合策略，开发关键部件状态诊断算法，实现环境感知、障碍物检测、车辆状态监控等功能，并工程应用。</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研究方向2（指南代码D1302）：道路破冰除雪机械装备开发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针对北方冬季路面覆冰、积雪难清理问题，研究机械化破冰、除雪、清理及输送技术，采用装备本体产生自驱动能和驱动剥离方式，格式化破坏和粉碎冬季路面压实雪和重度压实雪，开发破冰除雪一体化机械装备，并应用示范。</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研究方向3（指南代码D1303）：带式输送机托辊高效速换装备研发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针对煤炭生产企业带式输送机托辊更换主要依赖人工操作，安全风险较大等问题，研究带式输送机托辊快速更换装置，研究标准单元模块的承载托辊与回程托辊快速更换技术，完成自动化装备研制并应用。</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研究方向4（指南代码D1304）：高效智能碳捕集、利用与封存（CCUS）装备研发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研究内容：针对煤电行业低碳化转型核心需求，加快构建清洁低碳安全高效的新型能源体系，研发高效吸收剂/吸附材料/膜组件等，优化碳捕集与地质封存工艺，攻关CO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驱油混相控制，提升资源利用与封存效率，构建人工智能驱动的封存安全风险预警与决策模型，实现高效智能碳捕集、利用与封存（CCUS）装备集成应用。</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研究方向5（指南代码D1305）：矿用卡车轮胎快速装卸技术研发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针对矿用卡车轮胎传统装卸存在安全风险高的问题，研究卡车轮胎防倾覆快速装卸技术，开发多自由度轮胎装卸一体化装置，构建多自由度矿用卡车轮胎装卸全向移动AGV平台，实现对矿用卡车轮胎的安全、高效装卸，并应用示范。</w:t>
      </w:r>
    </w:p>
    <w:p>
      <w:pPr>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研究方向6（指南代码D1306）：低空装备高寒测试关键技术研发</w:t>
      </w:r>
    </w:p>
    <w:p>
      <w:pPr>
        <w:spacing w:line="6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研究内容：为解决现有低空装备测试集中于东南沿海、缺乏高寒环境验证的问题，开展高寒环境下低空装备的极端环境模拟与精准控制技术、关键部件的耐寒性能优化与测试评价技术、极端环境下可靠通信与导航抗干扰技术等，建立覆盖部件-系统-整机的一站式高寒测试标准体系，填补国内超低温低空装备系统性测试的空白。</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说明：此领域研究方向1、2、3、4、6由企业牵头申报。</w:t>
      </w:r>
      <w:bookmarkEnd w:id="0"/>
      <w:bookmarkEnd w:id="1"/>
      <w:bookmarkEnd w:id="2"/>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四、绿色冶金</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研究方向1（指南代码D1401）：内蒙古锂多金属矿重-浮耦合分选技术研究</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针对锂多金属矿中锂云母、锡石与长石/石英致密共生，采用传统单一重选或浮选工艺存在的锂、锡损失率高、精矿品位低、环境污染风险大三重瓶颈问题。通过创新“重选预抛尾—浮选精准捕收”耦合机制，研究旋流器多相流场预选调控机制；微细粒浮选界面行为强化；重-浮耦合工艺参数优化等技术，构建适用于高寒干旱区的绿色分选体系，实现资源的高效利用。</w:t>
      </w:r>
    </w:p>
    <w:p>
      <w:pPr>
        <w:adjustRightInd w:val="0"/>
        <w:snapToGrid w:val="0"/>
        <w:spacing w:line="620" w:lineRule="exact"/>
        <w:ind w:firstLine="642"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研究方向2（指南代码D1402）：锌冶炼尘渣高价值组分绿色高效回收技术研究</w:t>
      </w:r>
    </w:p>
    <w:p>
      <w:pPr>
        <w:adjustRightInd w:val="0"/>
        <w:snapToGrid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针对自治区锌冶炼尘渣中高价值组分回收率低，流程复杂，污染环境等问题。通过对沉渣组分及状态的细致分析，解析锌、铟浸出行为及砷分离特性，优化梯级酸浸工艺，实现有价组分高效富集与杂质定向分离。开发逆流净化技术分离富集铟、锑、锗等稀散金属；通过中试验证优化全流程参数，建立绿色冶炼产业化原型，完成技术经济评估。</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研究方向3（指南代码D1403）：铁合金/有色合金渣离心超重力分离技术研究</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开展铁合金/有色合金渣超重力在线热态分离技术研究。包括实验室装备基础研究，确定分离工艺参数,采用离心分离装备开展模拟优化在线试验研究，明确技术参数和工业试验设备参数，以及设计制造离心分离工业试验装备及其现场工业试验验证。将铁合金渣</w:t>
      </w:r>
      <w:bookmarkStart w:id="4" w:name="_Hlk187836656"/>
      <w:r>
        <w:rPr>
          <w:rFonts w:hint="eastAsia" w:ascii="仿宋_GB2312" w:hAnsi="仿宋_GB2312" w:eastAsia="仿宋_GB2312" w:cs="仿宋_GB2312"/>
          <w:sz w:val="32"/>
          <w:szCs w:val="32"/>
        </w:rPr>
        <w:t>由5%</w:t>
      </w:r>
      <w:bookmarkEnd w:id="4"/>
      <w:r>
        <w:rPr>
          <w:rFonts w:hint="eastAsia" w:ascii="仿宋_GB2312" w:hAnsi="仿宋_GB2312" w:eastAsia="仿宋_GB2312" w:cs="仿宋_GB2312"/>
          <w:sz w:val="32"/>
          <w:szCs w:val="32"/>
        </w:rPr>
        <w:t>左右降至1%左右。将有色合金渣从70%降至40%以下。</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研究方向4（指南代码D1404）：铬铁绿色低碳炉料制备技术研究</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开展不同品质的铬矿矿性及优选研究，在球团工序中精确调控碳还原剂、粘结剂、熔剂的种类、配比，选择最优球团加工工艺路线，制备出一种绿色低碳、节能降耗的优质炉料，开发冶炼工序中大幅降低冶炼温度与能耗、提高铬回收率、减少粉尘排放、拓宽原料适应性的高效清洁技术。</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研究方向5（指南代码D1405）：铜冶炼渣综合利关键技术及产业化</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开展铜渣中高效分离钼等有价元素关键技术研究，并实施产业化。小试试验钼的回收率90%，钼酸铵产品纯度98.5%，中试试验钼的回收率78.5%，钼酸铵产品纯度98.5%。开展铜渣选择性还原与资源化一体化技术、铜渣中砷元素转化回收技术、铜渣中固砷技术研究，铁精矿磁选回收、尾渣产品化利用及放大实验研究。</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研究方向6（指南代码D1406）：一种针对铜铅锌混合精矿分离的浮重联合新工艺研发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针对原矿铜品位高低不均，氧化和泥化严重的问题，采取浮重联合工艺，通过重介质（硅铁）的介入，将含部分重介质的铅矿物从混合精矿中分离出来，剩余的锌硫铜混合精矿再通过铜硫-锌硫等浮工艺进行浮铜抑锌。同时引入智能化升级元素，最终确定一种针对铜铅锌混合精矿分离的浮重联合工艺。</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研究方向7（指南代码D1407）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钼、锗等稀有金属矿产资源的开发利用</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探索浮选新药剂，特别是开发新型抑制剂和捕收剂，提高钼分离的选择性和效率；开展选矿工艺流程优化研究，提高钼精矿的品位和金属回收率。对现有褐煤燃烧提锗主导工艺进行优化和改进，提高锗回收率、降低能耗；开发利用湿法冶金、微生物浸取、溶剂萃取水冶、干馏法等新技术与工艺，实现煤型锗矿的多资源协同利用，减轻环境污染。</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说明：此领域研究方向均由企业牵头申报。</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五、现代化工</w:t>
      </w:r>
    </w:p>
    <w:p>
      <w:pPr>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研究方向1（指南代码D1501）：大宗固废生态利用重金属污染控制关键技术研发</w:t>
      </w:r>
    </w:p>
    <w:p>
      <w:pPr>
        <w:spacing w:line="6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研究内容：针对粉煤灰等大宗工业固废中重金属的复杂赋存状态，研发基于铁、铝的低成本重金属矿化污染控制材料，研究诱导-水热一步法激化粉煤灰中硅、钙、镁等有益元素的方法，开发粉煤灰中重金属矿化固定与自身有益组分高效利用的土壤调理剂产品，建立示范，编制工艺技术包。</w:t>
      </w:r>
    </w:p>
    <w:p>
      <w:pPr>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研究方向2（指南代码D1502）：电石法氯乙烯合成无汞催化剂研发</w:t>
      </w:r>
    </w:p>
    <w:p>
      <w:pPr>
        <w:spacing w:line="6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研究内容：针对电石法氯乙烯合成无汞催化剂的产业需求，开展高活性、高稳定性（二者均不低于工业汞催化剂）无汞催化剂研究，探索催化剂最佳制备条件和制备工艺，揭示催化反应机理和催化剂失活机理，形成无汞催化剂制备完整工艺包并进行工业生产示范。</w:t>
      </w:r>
    </w:p>
    <w:p>
      <w:pPr>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研究方向3（指南代码D1503）：基于无机氟化物研发含氟精细化学品的合成技术研发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以萤石资源为基础，研发含氟烷烃、烯烃、芳烃与羧酸等氟化物的高效氟化工艺，重点突破含氟高分子材料、化工、医药、农药等精细化工产品的合成工艺，优化含氟高分子材料性能及精细化工产品应用开发等关键技术与工艺，实现低成本、绿色环保的氟化物合成及应用。</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说明：此领域研究方向全部由企业牵头申报。</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六、数字经济</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研究方向1（指南代码D1601）：空天地一体化智能监管技术研发</w:t>
      </w:r>
    </w:p>
    <w:p>
      <w:pPr>
        <w:adjustRightInd w:val="0"/>
        <w:snapToGrid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针对自治区森林、农业、草原等资源，采用卫星、无人机、机器狗等采集平台，通过“空-天-地”多源异构数据，结合植被指数进行森林和草原长势、退化程度及生产力评估，考察病虫害发展程度、动物分布与盗猎情况，开发多模态生态感知大模型，构建生态态势评估预警与智能决策体系，实现农林牧草的智能监管技术应用，并开展应用示范。</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研究方向2（指南代码D1602）：低空气象观测与风险预警推演关键技术研发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研究多尺度低空气象观测网络部署及优化方法，开展高质量低空气象数据集研制，探索低空飞行范围内温、压、湿、风等的时空分布特征，以及威胁低空飞行安全的气象条件，并基于人工智能等技术开展低空气象风险的动态预警和推演研究，推进从单一气象因素风险预报向多气象因素链式预警范式转型。</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研究方向3（指南代码D1603）：</w:t>
      </w:r>
      <w:r>
        <w:rPr>
          <w:rFonts w:hint="eastAsia" w:ascii="仿宋_GB2312" w:hAnsi="仿宋_GB2312" w:eastAsia="仿宋_GB2312" w:cs="仿宋_GB2312"/>
          <w:b/>
          <w:bCs/>
          <w:sz w:val="32"/>
          <w:szCs w:val="32"/>
        </w:rPr>
        <w:t>多源数据融合驱动的内蒙古极端气象智能监测预警关键技术研发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开展卫星遥感、地面气象等多源观测数据的高效特征融合与预处理关键技术研究，构建高质量的沙尘暴等极端气象时空感知数据集，以及适应内蒙古复杂气象及地表干扰的极端气象智能监测大模型；并在内蒙古典型区域开展应用示范，形成可推广的极端气象智能预报解决方案。</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研究方向4（指南代码D1604）：具身智能机器人技术研发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采用人工智能、机器视觉等技术，研发一套应用于农业育种采摘、工业巡检、智能制造等领域的机器人，或者实现如伺服电机控制、视觉光源等具身智能机器人关键零部件技术的自主化研发，突破目标识别、定位、姿态估计与自主导航避障技术，实现多光谱、多视角图像融合建模，实现生产少人化作业和机器人自主生产新模式，为生产过程提供装备支撑。</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研究方向5（指南代码D1605）：基于多模态融合的智能安检系统关键技术研发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融合生物特征识别、车辆轨迹分析、X光三维成像等多维数据，构建动态风险量化模型，实时触发报警并生成处置预案，研发‌动态光照补偿算法‌与‌三维遮挡重构技术‌，有效突破强逆光、暴风雪等极端环境干扰；构建‌多光谱智能融合框架，实现金属、液体等违禁物的穿透识别准确率；增强小目标检测和边缘部署能力，提升密集行李场景召回率，并开展应用示范。</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研究方向6（指南代码D1606）：基于具身智能的规模化设备运维关键技术研发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针对水利、能源等领域规模化设备数量巨大，人工运维手段难以实现高精度和快速响应的问题，研发具身智能巡检装备，集成高光谱、雷达等传感器，实现环境自主感知；研发具身智能“大脑”大模型，支持故障预测、任务规划及自适应调整，实现自主决策控制。在此基础上，开发智慧运维系统并开展应用示范。</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研究方向7（指南代码D1607）：基于人工智能的物品溯源系统研发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研究内容：针对药品、农畜产品、食品等传统溯源过程中数据易篡改、链条不透明等问题，重点研究多源数据的智能采集与融合、特征提取与异常监测、以及区块链与AI结合的防伪验证技术；突破跨模态数据关联分析、分布式存储与计算优化等关键技术；开发智能溯源系统，实现物品的全流程自动化追踪，并开展应用示范。</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研究方向8（指南代码D1608）：基于人工智能的安全监控与联动决策系统研发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面向制造业和采矿业等行业的安全生产，采用人工智能技术、物联网感知和大数据分析等构建多源数据（视频/传感器/设备日志）的时空对齐与知识图谱融合框架、实现预测性维护模型，建立故障特征库与寿命预测算法、开发集成监测、预警、诊断功能的平台系统，实现实时监测-智能分析-联动控制的闭环管理，并开展应用示范。</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研究方向9（指南代码D1609）：低空地理信息服务平台研发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针对低空地理信息数据的多源异构融合、安全等问题，基于北斗、5G、边缘计算和GIS等技术，研发面向低空地理信息服务的数据自动清洗、智能融合、安全存储和高效查询等关键技术；研发低空地理信息基础服务平台，并集成面向应用的低空智慧大脑和时空智能大模型，在湿地碳汇监测、无人巡检、应急救援等领域开展应用示范。</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研究方向（指南代码D1610）：智能化制造平台研发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立足于自治区的乳业、冶炼业等制造业智能化升级需求，充分利用5G、物联网、大数据、人工智能、边缘计算等技术，构建“感知-决策-执行”闭环，聚焦生产过程中的动态组网、多模态数据融合、自适应控制、以及预测性维护等关键技术研发，建立智能化制造平台并开展应用示范。</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研究方向11（指南代码D1611）：自主可控人工智能技术研发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基于当前国际形势，开发国产自主可控智能操作系统生态体系，通过自主可控人工智能技术在无人矿卡、空天推进系统、工业生产、建筑、机器视觉等领域实现关键技术研发和应用，力求突破国外技术封锁。</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说明：此领域研究方向4、5、6、7、8、10、11由企业牵头申报。</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七、科技文化融合</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研究方向1（指南代码D1701）：北疆文化大模型关键技术研究</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面向安全可信的“北疆文化”大模型应用需求，建立多语种北疆文化高质量数据集，研究多模态大模型价值观对齐、可控生成、内容安全保障、模型自动评测、高效参数微调、模型压缩、智能推荐、检索增强等技术，并实现大模型在文旅、媒体、出版等行业的应用示范。</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研究方向2（指南代码D1702）：蒙古文古籍挖掘分析</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面向蒙古文古籍文献和历史档案，研究文字识别、文字校正、内容挖掘分析、自动翻译、知识图谱构建、智能问答等关键技术，建立蒙古文古籍知识库，打造可推广、可服务的蒙古文古籍智能挖掘与展示智能系统，在教育、文化与科研领域开展示范应用。</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研究方向3（指南代码D1703）：智能化文旅平台研发</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整合自治区文旅行业数据资源，研究面向智慧文旅的实时数据采集、自动化信息抽取、多模态展示、沉浸式交互、智能游览、路线推荐、虚拟导游、虚拟场景仿真、旅游攻略生成、智能交互等技术，研发多模态交互、深度沉浸的智能文旅平台，在自治区文旅行业形成示范应用。</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研究方向4（指南代码D1704）：中蒙医知识库建设</w:t>
      </w:r>
    </w:p>
    <w:p>
      <w:pPr>
        <w:spacing w:line="62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结合自治区中蒙医药产业优势，构建中蒙医知识库，研究影像判读、疾病预测、药效预测、预后分析、智能挖掘、诊疗方案优化、病历辅助写作等智能诊疗技术，研发结合中蒙医知识库的智能辅助诊疗系统，实现AI在医院临床诊疗的深度应用。</w:t>
      </w:r>
    </w:p>
    <w:p>
      <w:pPr>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说明：此领域研究方向3由企业牵头申报。</w:t>
      </w:r>
    </w:p>
    <w:p>
      <w:pPr>
        <w:adjustRightInd w:val="0"/>
        <w:snapToGrid w:val="0"/>
        <w:spacing w:line="620" w:lineRule="exact"/>
        <w:ind w:firstLine="640" w:firstLineChars="200"/>
        <w:rPr>
          <w:rFonts w:ascii="仿宋_GB2312" w:hAnsi="仿宋_GB2312" w:eastAsia="仿宋_GB2312" w:cs="仿宋_GB2312"/>
          <w:bCs/>
          <w:sz w:val="32"/>
          <w:szCs w:val="32"/>
        </w:rPr>
      </w:pPr>
      <w:r>
        <w:rPr>
          <w:rFonts w:hint="eastAsia" w:ascii="黑体" w:hAnsi="黑体" w:eastAsia="黑体" w:cs="黑体"/>
          <w:sz w:val="32"/>
          <w:szCs w:val="32"/>
        </w:rPr>
        <w:t>八、种业创新工程</w:t>
      </w:r>
    </w:p>
    <w:p>
      <w:pPr>
        <w:adjustRightInd w:val="0"/>
        <w:snapToGrid w:val="0"/>
        <w:spacing w:line="62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sz w:val="32"/>
          <w:szCs w:val="32"/>
        </w:rPr>
        <w:t>研究方向1（指南代码D1801）：</w:t>
      </w:r>
      <w:r>
        <w:rPr>
          <w:rFonts w:hint="eastAsia" w:ascii="仿宋_GB2312" w:hAnsi="仿宋_GB2312" w:eastAsia="仿宋_GB2312" w:cs="仿宋_GB2312"/>
          <w:b/>
          <w:bCs/>
          <w:color w:val="000000"/>
          <w:sz w:val="32"/>
          <w:szCs w:val="32"/>
        </w:rPr>
        <w:t>玉米种质资源创制与新品种选育</w:t>
      </w:r>
    </w:p>
    <w:p>
      <w:pPr>
        <w:adjustRightInd w:val="0"/>
        <w:snapToGrid w:val="0"/>
        <w:spacing w:line="6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研究内容：</w:t>
      </w:r>
      <w:r>
        <w:rPr>
          <w:rFonts w:hint="eastAsia" w:ascii="仿宋_GB2312" w:hAnsi="仿宋_GB2312" w:eastAsia="仿宋_GB2312" w:cs="仿宋_GB2312"/>
          <w:bCs/>
          <w:color w:val="000000"/>
          <w:sz w:val="32"/>
          <w:szCs w:val="32"/>
        </w:rPr>
        <w:t>开展玉米优异种质资源创制，利用常规育种、生物育种等技术，选育优质、高产、耐密、宜机收等性状的玉米新品种。</w:t>
      </w:r>
    </w:p>
    <w:p>
      <w:pPr>
        <w:adjustRightInd w:val="0"/>
        <w:snapToGrid w:val="0"/>
        <w:spacing w:line="62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研究方向2</w:t>
      </w:r>
      <w:r>
        <w:rPr>
          <w:rFonts w:hint="eastAsia" w:ascii="仿宋_GB2312" w:hAnsi="仿宋_GB2312" w:eastAsia="仿宋_GB2312" w:cs="仿宋_GB2312"/>
          <w:b/>
          <w:sz w:val="32"/>
          <w:szCs w:val="32"/>
        </w:rPr>
        <w:t>（指南代码D1802）</w:t>
      </w:r>
      <w:r>
        <w:rPr>
          <w:rFonts w:hint="eastAsia" w:ascii="仿宋_GB2312" w:hAnsi="仿宋_GB2312" w:eastAsia="仿宋_GB2312" w:cs="仿宋_GB2312"/>
          <w:b/>
          <w:bCs/>
          <w:color w:val="000000"/>
          <w:sz w:val="32"/>
          <w:szCs w:val="32"/>
        </w:rPr>
        <w:t>：大豆种质资源创制与新品种选育</w:t>
      </w:r>
    </w:p>
    <w:p>
      <w:pPr>
        <w:adjustRightInd w:val="0"/>
        <w:snapToGrid w:val="0"/>
        <w:spacing w:line="6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研究内容：开展</w:t>
      </w:r>
      <w:r>
        <w:rPr>
          <w:rFonts w:hint="eastAsia" w:ascii="仿宋_GB2312" w:hAnsi="仿宋_GB2312" w:eastAsia="仿宋_GB2312" w:cs="仿宋_GB2312"/>
          <w:bCs/>
          <w:color w:val="000000"/>
          <w:sz w:val="32"/>
          <w:szCs w:val="32"/>
        </w:rPr>
        <w:t>大豆种质资源创制，利用常规育种、生物育种等技术，选育优质、高产、抗病大豆新品种。</w:t>
      </w:r>
    </w:p>
    <w:p>
      <w:pPr>
        <w:adjustRightInd w:val="0"/>
        <w:snapToGrid w:val="0"/>
        <w:spacing w:line="62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sz w:val="32"/>
          <w:szCs w:val="32"/>
        </w:rPr>
        <w:t>研究方向3（指南代码D1803）：</w:t>
      </w:r>
      <w:r>
        <w:rPr>
          <w:rFonts w:hint="eastAsia" w:ascii="仿宋_GB2312" w:hAnsi="仿宋_GB2312" w:eastAsia="仿宋_GB2312" w:cs="仿宋_GB2312"/>
          <w:b/>
          <w:bCs/>
          <w:color w:val="000000"/>
          <w:sz w:val="32"/>
          <w:szCs w:val="32"/>
        </w:rPr>
        <w:t>水稻种质资源创制利用与新品种选育</w:t>
      </w:r>
    </w:p>
    <w:p>
      <w:pPr>
        <w:adjustRightInd w:val="0"/>
        <w:snapToGrid w:val="0"/>
        <w:spacing w:line="6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研究内容：开展</w:t>
      </w:r>
      <w:r>
        <w:rPr>
          <w:rFonts w:hint="eastAsia" w:ascii="仿宋_GB2312" w:hAnsi="仿宋_GB2312" w:eastAsia="仿宋_GB2312" w:cs="仿宋_GB2312"/>
          <w:bCs/>
          <w:color w:val="000000"/>
          <w:sz w:val="32"/>
          <w:szCs w:val="32"/>
        </w:rPr>
        <w:t>水稻种质资源创制利用研究，利用常规育种、生物育种等技术，选育优质水稻新品种。</w:t>
      </w:r>
    </w:p>
    <w:p>
      <w:pPr>
        <w:adjustRightInd w:val="0"/>
        <w:snapToGrid w:val="0"/>
        <w:spacing w:line="62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sz w:val="32"/>
          <w:szCs w:val="32"/>
        </w:rPr>
        <w:t>研究方向4（指南代码D1804）：</w:t>
      </w:r>
      <w:r>
        <w:rPr>
          <w:rFonts w:hint="eastAsia" w:ascii="仿宋_GB2312" w:hAnsi="仿宋_GB2312" w:eastAsia="仿宋_GB2312" w:cs="仿宋_GB2312"/>
          <w:b/>
          <w:bCs/>
          <w:color w:val="000000"/>
          <w:sz w:val="32"/>
          <w:szCs w:val="32"/>
        </w:rPr>
        <w:t>茄果类蔬菜种质资源创制利用与新品种选育</w:t>
      </w:r>
    </w:p>
    <w:p>
      <w:pPr>
        <w:adjustRightInd w:val="0"/>
        <w:snapToGrid w:val="0"/>
        <w:spacing w:line="6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研究内容：</w:t>
      </w:r>
      <w:r>
        <w:rPr>
          <w:rFonts w:hint="eastAsia" w:ascii="仿宋_GB2312" w:hAnsi="仿宋_GB2312" w:eastAsia="仿宋_GB2312" w:cs="仿宋_GB2312"/>
          <w:bCs/>
          <w:color w:val="000000"/>
          <w:sz w:val="32"/>
          <w:szCs w:val="32"/>
        </w:rPr>
        <w:t>开展番茄、辣椒等茄果类蔬菜种质资源创制利用研究，选育适宜不同区域的鲜食、加工茄果类蔬菜新品种。</w:t>
      </w:r>
    </w:p>
    <w:p>
      <w:pPr>
        <w:widowControl/>
        <w:adjustRightInd w:val="0"/>
        <w:snapToGrid w:val="0"/>
        <w:spacing w:line="620" w:lineRule="exact"/>
        <w:ind w:firstLine="642"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
          <w:sz w:val="32"/>
          <w:szCs w:val="32"/>
        </w:rPr>
        <w:t>研究方向5（指南代码D1805）：</w:t>
      </w:r>
      <w:r>
        <w:rPr>
          <w:rFonts w:hint="eastAsia" w:ascii="仿宋_GB2312" w:hAnsi="仿宋_GB2312" w:eastAsia="仿宋_GB2312" w:cs="仿宋_GB2312"/>
          <w:b/>
          <w:bCs/>
          <w:color w:val="000000"/>
          <w:kern w:val="0"/>
          <w:sz w:val="32"/>
          <w:szCs w:val="32"/>
        </w:rPr>
        <w:t>杂粮杂豆种质资源创制与新品种选育</w:t>
      </w:r>
    </w:p>
    <w:p>
      <w:pPr>
        <w:adjustRightInd w:val="0"/>
        <w:snapToGrid w:val="0"/>
        <w:spacing w:line="6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color w:val="000000"/>
          <w:kern w:val="0"/>
          <w:sz w:val="32"/>
          <w:szCs w:val="32"/>
        </w:rPr>
        <w:t>开展杂粮杂豆</w:t>
      </w:r>
      <w:r>
        <w:rPr>
          <w:rFonts w:hint="eastAsia" w:ascii="仿宋_GB2312" w:hAnsi="仿宋_GB2312" w:eastAsia="仿宋_GB2312" w:cs="仿宋_GB2312"/>
          <w:color w:val="000000"/>
          <w:kern w:val="0"/>
          <w:sz w:val="32"/>
          <w:szCs w:val="32"/>
        </w:rPr>
        <w:t>优异种质资源创制利用研究，选育</w:t>
      </w:r>
      <w:r>
        <w:rPr>
          <w:rFonts w:hint="eastAsia" w:ascii="仿宋_GB2312" w:hAnsi="仿宋_GB2312" w:eastAsia="仿宋_GB2312" w:cs="仿宋_GB2312"/>
          <w:bCs/>
          <w:color w:val="000000"/>
          <w:kern w:val="0"/>
          <w:sz w:val="32"/>
          <w:szCs w:val="32"/>
        </w:rPr>
        <w:t>优质、高产、抗旱杂粮杂豆</w:t>
      </w:r>
      <w:r>
        <w:rPr>
          <w:rFonts w:hint="eastAsia" w:ascii="仿宋_GB2312" w:hAnsi="仿宋_GB2312" w:eastAsia="仿宋_GB2312" w:cs="仿宋_GB2312"/>
          <w:color w:val="000000"/>
          <w:kern w:val="0"/>
          <w:sz w:val="32"/>
          <w:szCs w:val="32"/>
        </w:rPr>
        <w:t>新品种。</w:t>
      </w:r>
    </w:p>
    <w:p>
      <w:pPr>
        <w:widowControl/>
        <w:adjustRightInd w:val="0"/>
        <w:snapToGrid w:val="0"/>
        <w:spacing w:line="620" w:lineRule="exact"/>
        <w:ind w:firstLine="642"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sz w:val="32"/>
          <w:szCs w:val="32"/>
        </w:rPr>
        <w:t>研究方向6（指南代码D1806）：</w:t>
      </w:r>
      <w:r>
        <w:rPr>
          <w:rFonts w:hint="eastAsia" w:ascii="仿宋_GB2312" w:hAnsi="仿宋_GB2312" w:eastAsia="仿宋_GB2312" w:cs="仿宋_GB2312"/>
          <w:b/>
          <w:bCs/>
          <w:color w:val="000000"/>
          <w:kern w:val="0"/>
          <w:sz w:val="32"/>
          <w:szCs w:val="32"/>
        </w:rPr>
        <w:t>优良牧草种质资源创制与新品种选育</w:t>
      </w:r>
    </w:p>
    <w:p>
      <w:pPr>
        <w:adjustRightInd w:val="0"/>
        <w:snapToGrid w:val="0"/>
        <w:spacing w:line="6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color w:val="000000"/>
          <w:kern w:val="0"/>
          <w:sz w:val="32"/>
          <w:szCs w:val="32"/>
        </w:rPr>
        <w:t>开展</w:t>
      </w:r>
      <w:r>
        <w:rPr>
          <w:rFonts w:hint="eastAsia" w:ascii="仿宋_GB2312" w:hAnsi="仿宋_GB2312" w:eastAsia="仿宋_GB2312" w:cs="仿宋_GB2312"/>
          <w:bCs/>
          <w:color w:val="000000"/>
          <w:kern w:val="0"/>
          <w:sz w:val="32"/>
          <w:szCs w:val="32"/>
        </w:rPr>
        <w:t>优良牧草</w:t>
      </w:r>
      <w:r>
        <w:rPr>
          <w:rFonts w:hint="eastAsia" w:ascii="仿宋_GB2312" w:hAnsi="仿宋_GB2312" w:eastAsia="仿宋_GB2312" w:cs="仿宋_GB2312"/>
          <w:color w:val="000000"/>
          <w:kern w:val="0"/>
          <w:sz w:val="32"/>
          <w:szCs w:val="32"/>
        </w:rPr>
        <w:t>种质资源创制利用研究，选育优质、高产牧草新品种。</w:t>
      </w:r>
    </w:p>
    <w:p>
      <w:pPr>
        <w:widowControl/>
        <w:adjustRightInd w:val="0"/>
        <w:snapToGrid w:val="0"/>
        <w:spacing w:line="620" w:lineRule="exact"/>
        <w:ind w:firstLine="642"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
          <w:sz w:val="32"/>
          <w:szCs w:val="32"/>
        </w:rPr>
        <w:t>研究方向7（指南代码D1807）：</w:t>
      </w:r>
      <w:r>
        <w:rPr>
          <w:rFonts w:hint="eastAsia" w:ascii="仿宋_GB2312" w:hAnsi="仿宋_GB2312" w:eastAsia="仿宋_GB2312" w:cs="仿宋_GB2312"/>
          <w:b/>
          <w:bCs/>
          <w:color w:val="000000"/>
          <w:kern w:val="0"/>
          <w:sz w:val="32"/>
          <w:szCs w:val="32"/>
        </w:rPr>
        <w:t>马铃薯优势种质资源创制与新品种培育</w:t>
      </w:r>
    </w:p>
    <w:p>
      <w:pPr>
        <w:adjustRightInd w:val="0"/>
        <w:snapToGrid w:val="0"/>
        <w:spacing w:line="6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color w:val="000000"/>
          <w:kern w:val="0"/>
          <w:sz w:val="32"/>
          <w:szCs w:val="32"/>
        </w:rPr>
        <w:t>开展</w:t>
      </w:r>
      <w:r>
        <w:rPr>
          <w:rFonts w:hint="eastAsia" w:ascii="仿宋_GB2312" w:hAnsi="仿宋_GB2312" w:eastAsia="仿宋_GB2312" w:cs="仿宋_GB2312"/>
          <w:bCs/>
          <w:color w:val="000000"/>
          <w:kern w:val="0"/>
          <w:sz w:val="32"/>
          <w:szCs w:val="32"/>
        </w:rPr>
        <w:t>马铃薯</w:t>
      </w:r>
      <w:r>
        <w:rPr>
          <w:rFonts w:hint="eastAsia" w:ascii="仿宋_GB2312" w:hAnsi="仿宋_GB2312" w:eastAsia="仿宋_GB2312" w:cs="仿宋_GB2312"/>
          <w:color w:val="000000"/>
          <w:kern w:val="0"/>
          <w:sz w:val="32"/>
          <w:szCs w:val="32"/>
        </w:rPr>
        <w:t>种质资源创制利用研究，选育优质、高产、抗病</w:t>
      </w:r>
      <w:r>
        <w:rPr>
          <w:rFonts w:hint="eastAsia" w:ascii="仿宋_GB2312" w:hAnsi="仿宋_GB2312" w:eastAsia="仿宋_GB2312" w:cs="仿宋_GB2312"/>
          <w:bCs/>
          <w:color w:val="000000"/>
          <w:kern w:val="0"/>
          <w:sz w:val="32"/>
          <w:szCs w:val="32"/>
        </w:rPr>
        <w:t>马铃薯</w:t>
      </w:r>
      <w:r>
        <w:rPr>
          <w:rFonts w:hint="eastAsia" w:ascii="仿宋_GB2312" w:hAnsi="仿宋_GB2312" w:eastAsia="仿宋_GB2312" w:cs="仿宋_GB2312"/>
          <w:color w:val="000000"/>
          <w:kern w:val="0"/>
          <w:sz w:val="32"/>
          <w:szCs w:val="32"/>
        </w:rPr>
        <w:t>新品种。</w:t>
      </w:r>
    </w:p>
    <w:p>
      <w:pPr>
        <w:adjustRightInd w:val="0"/>
        <w:snapToGrid w:val="0"/>
        <w:spacing w:line="62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sz w:val="32"/>
          <w:szCs w:val="32"/>
        </w:rPr>
        <w:t>研究方向8（指南代码D1808）：</w:t>
      </w:r>
      <w:r>
        <w:rPr>
          <w:rFonts w:hint="eastAsia" w:ascii="仿宋_GB2312" w:hAnsi="仿宋_GB2312" w:eastAsia="仿宋_GB2312" w:cs="仿宋_GB2312"/>
          <w:b/>
          <w:bCs/>
          <w:color w:val="000000"/>
          <w:sz w:val="32"/>
          <w:szCs w:val="32"/>
        </w:rPr>
        <w:t>园艺作物种质资源创制及新品种选育</w:t>
      </w:r>
    </w:p>
    <w:p>
      <w:pPr>
        <w:adjustRightInd w:val="0"/>
        <w:snapToGrid w:val="0"/>
        <w:spacing w:line="6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color w:val="000000"/>
          <w:kern w:val="0"/>
          <w:sz w:val="32"/>
          <w:szCs w:val="32"/>
        </w:rPr>
        <w:t>开展食用菌、果树、花卉等</w:t>
      </w:r>
      <w:r>
        <w:rPr>
          <w:rFonts w:hint="eastAsia" w:ascii="仿宋_GB2312" w:hAnsi="仿宋_GB2312" w:eastAsia="仿宋_GB2312" w:cs="仿宋_GB2312"/>
          <w:bCs/>
          <w:color w:val="000000"/>
          <w:kern w:val="0"/>
          <w:sz w:val="32"/>
          <w:szCs w:val="32"/>
        </w:rPr>
        <w:t>特色园艺作物</w:t>
      </w:r>
      <w:r>
        <w:rPr>
          <w:rFonts w:hint="eastAsia" w:ascii="仿宋_GB2312" w:hAnsi="仿宋_GB2312" w:eastAsia="仿宋_GB2312" w:cs="仿宋_GB2312"/>
          <w:color w:val="000000"/>
          <w:kern w:val="0"/>
          <w:sz w:val="32"/>
          <w:szCs w:val="32"/>
        </w:rPr>
        <w:t>种质资源创制利用研究，选育优质、高产</w:t>
      </w:r>
      <w:r>
        <w:rPr>
          <w:rFonts w:hint="eastAsia" w:ascii="仿宋_GB2312" w:hAnsi="仿宋_GB2312" w:eastAsia="仿宋_GB2312" w:cs="仿宋_GB2312"/>
          <w:bCs/>
          <w:color w:val="000000"/>
          <w:kern w:val="0"/>
          <w:sz w:val="32"/>
          <w:szCs w:val="32"/>
        </w:rPr>
        <w:t>特色园艺作物</w:t>
      </w:r>
      <w:r>
        <w:rPr>
          <w:rFonts w:hint="eastAsia" w:ascii="仿宋_GB2312" w:hAnsi="仿宋_GB2312" w:eastAsia="仿宋_GB2312" w:cs="仿宋_GB2312"/>
          <w:color w:val="000000"/>
          <w:kern w:val="0"/>
          <w:sz w:val="32"/>
          <w:szCs w:val="32"/>
        </w:rPr>
        <w:t>新品种。</w:t>
      </w:r>
    </w:p>
    <w:p>
      <w:pPr>
        <w:adjustRightInd w:val="0"/>
        <w:snapToGrid w:val="0"/>
        <w:spacing w:line="620" w:lineRule="exact"/>
        <w:ind w:firstLine="642"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sz w:val="32"/>
          <w:szCs w:val="32"/>
        </w:rPr>
        <w:t>研究方向9（指南代码D1809）：</w:t>
      </w:r>
      <w:r>
        <w:rPr>
          <w:rFonts w:hint="eastAsia" w:ascii="仿宋_GB2312" w:hAnsi="仿宋_GB2312" w:eastAsia="仿宋_GB2312" w:cs="仿宋_GB2312"/>
          <w:b/>
          <w:bCs/>
          <w:color w:val="000000"/>
          <w:sz w:val="32"/>
          <w:szCs w:val="32"/>
        </w:rPr>
        <w:t>林木种质资源创制及新品种选育</w:t>
      </w:r>
    </w:p>
    <w:p>
      <w:pPr>
        <w:adjustRightInd w:val="0"/>
        <w:snapToGrid w:val="0"/>
        <w:spacing w:line="6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Cs/>
          <w:color w:val="000000"/>
          <w:sz w:val="32"/>
          <w:szCs w:val="32"/>
        </w:rPr>
        <w:t>研究内容：</w:t>
      </w:r>
      <w:r>
        <w:rPr>
          <w:rFonts w:hint="eastAsia" w:ascii="仿宋_GB2312" w:hAnsi="仿宋_GB2312" w:eastAsia="仿宋_GB2312" w:cs="仿宋_GB2312"/>
          <w:color w:val="000000"/>
          <w:kern w:val="0"/>
          <w:sz w:val="32"/>
          <w:szCs w:val="32"/>
        </w:rPr>
        <w:t>开展林木种质资源创制利用研究，选育优质、高产</w:t>
      </w:r>
      <w:r>
        <w:rPr>
          <w:rFonts w:hint="eastAsia" w:ascii="仿宋_GB2312" w:hAnsi="仿宋_GB2312" w:eastAsia="仿宋_GB2312" w:cs="仿宋_GB2312"/>
          <w:bCs/>
          <w:color w:val="000000"/>
          <w:kern w:val="0"/>
          <w:sz w:val="32"/>
          <w:szCs w:val="32"/>
        </w:rPr>
        <w:t>特色林木</w:t>
      </w:r>
      <w:r>
        <w:rPr>
          <w:rFonts w:hint="eastAsia" w:ascii="仿宋_GB2312" w:hAnsi="仿宋_GB2312" w:eastAsia="仿宋_GB2312" w:cs="仿宋_GB2312"/>
          <w:color w:val="000000"/>
          <w:kern w:val="0"/>
          <w:sz w:val="32"/>
          <w:szCs w:val="32"/>
        </w:rPr>
        <w:t>新品种。</w:t>
      </w:r>
    </w:p>
    <w:p>
      <w:pPr>
        <w:adjustRightInd w:val="0"/>
        <w:snapToGrid w:val="0"/>
        <w:spacing w:line="620" w:lineRule="exact"/>
        <w:ind w:firstLine="642" w:firstLineChars="200"/>
        <w:rPr>
          <w:rFonts w:ascii="仿宋_GB2312" w:hAnsi="仿宋_GB2312" w:eastAsia="仿宋_GB2312" w:cs="仿宋_GB2312"/>
          <w:b/>
          <w:bCs/>
          <w:sz w:val="32"/>
          <w:szCs w:val="32"/>
        </w:rPr>
      </w:pPr>
      <w:bookmarkStart w:id="5" w:name="_Toc31179"/>
      <w:bookmarkStart w:id="6" w:name="_Toc179363091"/>
      <w:r>
        <w:rPr>
          <w:rFonts w:hint="eastAsia" w:ascii="仿宋_GB2312" w:hAnsi="仿宋_GB2312" w:eastAsia="仿宋_GB2312" w:cs="仿宋_GB2312"/>
          <w:b/>
          <w:bCs/>
          <w:sz w:val="32"/>
          <w:szCs w:val="32"/>
        </w:rPr>
        <w:t>研究方向10</w:t>
      </w:r>
      <w:r>
        <w:rPr>
          <w:rFonts w:hint="eastAsia" w:ascii="仿宋_GB2312" w:hAnsi="仿宋_GB2312" w:eastAsia="仿宋_GB2312" w:cs="仿宋_GB2312"/>
          <w:b/>
          <w:sz w:val="32"/>
          <w:szCs w:val="32"/>
        </w:rPr>
        <w:t>（指南代码D1810）</w:t>
      </w:r>
      <w:r>
        <w:rPr>
          <w:rFonts w:hint="eastAsia" w:ascii="仿宋_GB2312" w:hAnsi="仿宋_GB2312" w:eastAsia="仿宋_GB2312" w:cs="仿宋_GB2312"/>
          <w:b/>
          <w:bCs/>
          <w:sz w:val="32"/>
          <w:szCs w:val="32"/>
        </w:rPr>
        <w:t>：肉羊优良种质资源保护与利用</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研究内容：开展</w:t>
      </w:r>
      <w:r>
        <w:rPr>
          <w:rFonts w:hint="eastAsia" w:ascii="仿宋_GB2312" w:hAnsi="仿宋_GB2312" w:eastAsia="仿宋_GB2312" w:cs="仿宋_GB2312"/>
          <w:sz w:val="32"/>
          <w:szCs w:val="32"/>
        </w:rPr>
        <w:t>肉羊优良种质资源挖掘与精准鉴定，选育优质、高产肉羊新品系。</w:t>
      </w:r>
    </w:p>
    <w:p>
      <w:pPr>
        <w:widowControl/>
        <w:adjustRightInd w:val="0"/>
        <w:snapToGrid w:val="0"/>
        <w:spacing w:line="620" w:lineRule="exact"/>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研究方向11</w:t>
      </w:r>
      <w:r>
        <w:rPr>
          <w:rFonts w:hint="eastAsia" w:ascii="仿宋_GB2312" w:hAnsi="仿宋_GB2312" w:eastAsia="仿宋_GB2312" w:cs="仿宋_GB2312"/>
          <w:b/>
          <w:kern w:val="0"/>
          <w:sz w:val="32"/>
          <w:szCs w:val="32"/>
        </w:rPr>
        <w:t>（指南代码D1811）</w:t>
      </w:r>
      <w:r>
        <w:rPr>
          <w:rFonts w:hint="eastAsia" w:ascii="仿宋_GB2312" w:hAnsi="仿宋_GB2312" w:eastAsia="仿宋_GB2312" w:cs="仿宋_GB2312"/>
          <w:b/>
          <w:bCs/>
          <w:kern w:val="0"/>
          <w:sz w:val="32"/>
          <w:szCs w:val="32"/>
        </w:rPr>
        <w:t>：肉牛种质资源保护与利用</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研究内容：开展肉牛</w:t>
      </w:r>
      <w:r>
        <w:rPr>
          <w:rFonts w:hint="eastAsia" w:ascii="仿宋_GB2312" w:hAnsi="仿宋_GB2312" w:eastAsia="仿宋_GB2312" w:cs="仿宋_GB2312"/>
          <w:sz w:val="32"/>
          <w:szCs w:val="32"/>
        </w:rPr>
        <w:t>优良种质资源挖掘与精准鉴定，选育优质、高产肉牛新品系。</w:t>
      </w:r>
    </w:p>
    <w:p>
      <w:pPr>
        <w:widowControl/>
        <w:adjustRightInd w:val="0"/>
        <w:snapToGrid w:val="0"/>
        <w:spacing w:line="62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研究方向12</w:t>
      </w:r>
      <w:r>
        <w:rPr>
          <w:rFonts w:hint="eastAsia" w:ascii="仿宋_GB2312" w:hAnsi="仿宋_GB2312" w:eastAsia="仿宋_GB2312" w:cs="仿宋_GB2312"/>
          <w:b/>
          <w:sz w:val="32"/>
          <w:szCs w:val="32"/>
        </w:rPr>
        <w:t>（指南代码D1812）</w:t>
      </w:r>
      <w:r>
        <w:rPr>
          <w:rFonts w:hint="eastAsia" w:ascii="仿宋_GB2312" w:hAnsi="仿宋_GB2312" w:eastAsia="仿宋_GB2312" w:cs="仿宋_GB2312"/>
          <w:b/>
          <w:bCs/>
          <w:sz w:val="32"/>
          <w:szCs w:val="32"/>
        </w:rPr>
        <w:t>：高生长性能种猪新品系培育</w:t>
      </w:r>
    </w:p>
    <w:p>
      <w:pPr>
        <w:adjustRightInd w:val="0"/>
        <w:snapToGrid w:val="0"/>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研究内容：开展智能化种猪生产性能精准测定技术体系研究，解析高生长性能种猪的遗传基础，选育新品系。</w:t>
      </w:r>
    </w:p>
    <w:p>
      <w:pPr>
        <w:adjustRightInd w:val="0"/>
        <w:snapToGrid w:val="0"/>
        <w:spacing w:line="620" w:lineRule="exact"/>
        <w:ind w:firstLine="642"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有关说明：此领域研究方向1、7由企业牵头申报。</w:t>
      </w:r>
    </w:p>
    <w:p>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九、绿色种养</w:t>
      </w:r>
      <w:bookmarkEnd w:id="5"/>
      <w:bookmarkEnd w:id="6"/>
    </w:p>
    <w:p>
      <w:pPr>
        <w:widowControl/>
        <w:adjustRightInd w:val="0"/>
        <w:snapToGrid w:val="0"/>
        <w:spacing w:line="620" w:lineRule="exact"/>
        <w:ind w:firstLine="642"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sz w:val="32"/>
          <w:szCs w:val="32"/>
        </w:rPr>
        <w:t>研究方向1（指南代码D1901）</w:t>
      </w:r>
      <w:r>
        <w:rPr>
          <w:rFonts w:hint="eastAsia" w:ascii="仿宋_GB2312" w:hAnsi="仿宋_GB2312" w:eastAsia="仿宋_GB2312" w:cs="仿宋_GB2312"/>
          <w:b/>
          <w:bCs/>
          <w:color w:val="000000"/>
          <w:kern w:val="0"/>
          <w:sz w:val="32"/>
          <w:szCs w:val="32"/>
        </w:rPr>
        <w:t>：作物绿色高效种植技术研究</w:t>
      </w:r>
    </w:p>
    <w:p>
      <w:pPr>
        <w:adjustRightInd w:val="0"/>
        <w:snapToGrid w:val="0"/>
        <w:spacing w:line="6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color w:val="000000"/>
          <w:kern w:val="0"/>
          <w:sz w:val="32"/>
          <w:szCs w:val="32"/>
        </w:rPr>
        <w:t>以单产提升为目标，开展作物水肥精准调控、农机农艺融合、</w:t>
      </w:r>
      <w:r>
        <w:rPr>
          <w:rFonts w:hint="eastAsia" w:ascii="仿宋_GB2312" w:hAnsi="仿宋_GB2312" w:eastAsia="仿宋_GB2312" w:cs="仿宋_GB2312"/>
          <w:bCs/>
          <w:color w:val="000000"/>
          <w:sz w:val="32"/>
          <w:szCs w:val="32"/>
        </w:rPr>
        <w:t>连作土壤修复与改良、</w:t>
      </w:r>
      <w:r>
        <w:rPr>
          <w:rFonts w:hint="eastAsia" w:ascii="仿宋_GB2312" w:hAnsi="仿宋_GB2312" w:eastAsia="仿宋_GB2312" w:cs="仿宋_GB2312"/>
          <w:bCs/>
          <w:color w:val="000000"/>
          <w:kern w:val="0"/>
          <w:sz w:val="32"/>
          <w:szCs w:val="32"/>
        </w:rPr>
        <w:t>盐碱地综合利用等技术研究，并进行集成。</w:t>
      </w:r>
    </w:p>
    <w:p>
      <w:pPr>
        <w:widowControl/>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研究方向2（指南代码D1902）：作物病虫害绿色防控技术研究</w:t>
      </w:r>
    </w:p>
    <w:p>
      <w:pPr>
        <w:adjustRightInd w:val="0"/>
        <w:snapToGrid w:val="0"/>
        <w:spacing w:line="6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color w:val="000000"/>
          <w:kern w:val="0"/>
          <w:sz w:val="32"/>
          <w:szCs w:val="32"/>
        </w:rPr>
        <w:t>开展农作物、园艺作物、饲草作物等病虫草害发生规律和农药减量增效技术研究，并进行集成推广。</w:t>
      </w:r>
    </w:p>
    <w:p>
      <w:pPr>
        <w:widowControl/>
        <w:adjustRightInd w:val="0"/>
        <w:snapToGrid w:val="0"/>
        <w:spacing w:line="620" w:lineRule="exact"/>
        <w:ind w:firstLine="642"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sz w:val="32"/>
          <w:szCs w:val="32"/>
        </w:rPr>
        <w:t>研究方向3（指南代码D1903）</w:t>
      </w:r>
      <w:r>
        <w:rPr>
          <w:rFonts w:hint="eastAsia" w:ascii="仿宋_GB2312" w:hAnsi="仿宋_GB2312" w:eastAsia="仿宋_GB2312" w:cs="仿宋_GB2312"/>
          <w:b/>
          <w:bCs/>
          <w:color w:val="000000"/>
          <w:kern w:val="0"/>
          <w:sz w:val="32"/>
          <w:szCs w:val="32"/>
        </w:rPr>
        <w:t>：牧草高效生产技术研究</w:t>
      </w:r>
    </w:p>
    <w:p>
      <w:pPr>
        <w:adjustRightInd w:val="0"/>
        <w:snapToGrid w:val="0"/>
        <w:spacing w:line="6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color w:val="000000"/>
          <w:sz w:val="32"/>
          <w:szCs w:val="32"/>
        </w:rPr>
        <w:t>开展苜蓿、燕麦等优质牧草</w:t>
      </w:r>
      <w:r>
        <w:rPr>
          <w:rFonts w:hint="eastAsia" w:ascii="仿宋_GB2312" w:hAnsi="仿宋_GB2312" w:eastAsia="仿宋_GB2312" w:cs="仿宋_GB2312"/>
          <w:color w:val="000000"/>
          <w:kern w:val="0"/>
          <w:sz w:val="32"/>
          <w:szCs w:val="32"/>
        </w:rPr>
        <w:t>高效生产技术研究</w:t>
      </w:r>
      <w:r>
        <w:rPr>
          <w:rFonts w:hint="eastAsia" w:ascii="仿宋_GB2312" w:hAnsi="仿宋_GB2312" w:eastAsia="仿宋_GB2312" w:cs="仿宋_GB2312"/>
          <w:color w:val="000000"/>
          <w:sz w:val="32"/>
          <w:szCs w:val="32"/>
        </w:rPr>
        <w:t>，并进行</w:t>
      </w:r>
      <w:r>
        <w:rPr>
          <w:rFonts w:hint="eastAsia" w:ascii="仿宋_GB2312" w:hAnsi="仿宋_GB2312" w:eastAsia="仿宋_GB2312" w:cs="仿宋_GB2312"/>
          <w:bCs/>
          <w:color w:val="000000"/>
          <w:sz w:val="32"/>
          <w:szCs w:val="32"/>
        </w:rPr>
        <w:t>集成推广。</w:t>
      </w:r>
    </w:p>
    <w:p>
      <w:pPr>
        <w:adjustRightInd w:val="0"/>
        <w:snapToGrid w:val="0"/>
        <w:spacing w:line="620" w:lineRule="exact"/>
        <w:ind w:firstLine="642"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sz w:val="32"/>
          <w:szCs w:val="32"/>
        </w:rPr>
        <w:t>研究方向4（指南代码D1904）</w:t>
      </w:r>
      <w:r>
        <w:rPr>
          <w:rFonts w:hint="eastAsia" w:ascii="仿宋_GB2312" w:hAnsi="仿宋_GB2312" w:eastAsia="仿宋_GB2312" w:cs="仿宋_GB2312"/>
          <w:b/>
          <w:bCs/>
          <w:color w:val="000000"/>
          <w:kern w:val="0"/>
          <w:sz w:val="32"/>
          <w:szCs w:val="32"/>
        </w:rPr>
        <w:t>：东北特色食用菌生产关键技术研发</w:t>
      </w:r>
    </w:p>
    <w:p>
      <w:pPr>
        <w:adjustRightInd w:val="0"/>
        <w:snapToGrid w:val="0"/>
        <w:spacing w:line="6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color w:val="000000"/>
          <w:sz w:val="32"/>
          <w:szCs w:val="32"/>
        </w:rPr>
        <w:t>开展东北特色食用菌高效生产技术研究。</w:t>
      </w:r>
    </w:p>
    <w:p>
      <w:pPr>
        <w:tabs>
          <w:tab w:val="left" w:pos="633"/>
        </w:tabs>
        <w:adjustRightInd w:val="0"/>
        <w:snapToGrid w:val="0"/>
        <w:spacing w:line="62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color w:val="000000"/>
          <w:sz w:val="32"/>
          <w:szCs w:val="32"/>
        </w:rPr>
        <w:t>5</w:t>
      </w:r>
      <w:r>
        <w:rPr>
          <w:rFonts w:hint="eastAsia" w:ascii="仿宋_GB2312" w:hAnsi="仿宋_GB2312" w:eastAsia="仿宋_GB2312" w:cs="仿宋_GB2312"/>
          <w:b/>
          <w:sz w:val="32"/>
          <w:szCs w:val="32"/>
        </w:rPr>
        <w:t>（指南代码D1905）</w:t>
      </w:r>
      <w:r>
        <w:rPr>
          <w:rFonts w:hint="eastAsia" w:ascii="仿宋_GB2312" w:hAnsi="仿宋_GB2312" w:eastAsia="仿宋_GB2312" w:cs="仿宋_GB2312"/>
          <w:b/>
          <w:bCs/>
          <w:color w:val="000000"/>
          <w:sz w:val="32"/>
          <w:szCs w:val="32"/>
        </w:rPr>
        <w:t>：畜禽、水产健康养殖技术研究</w:t>
      </w:r>
    </w:p>
    <w:p>
      <w:pPr>
        <w:widowControl/>
        <w:adjustRightInd w:val="0"/>
        <w:snapToGrid w:val="0"/>
        <w:spacing w:line="62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研究内容：开展畜禽、水产标准化、集约化、智能化健康高效养殖技术研究，并进行集成推广。</w:t>
      </w:r>
    </w:p>
    <w:p>
      <w:pPr>
        <w:widowControl/>
        <w:adjustRightInd w:val="0"/>
        <w:snapToGrid w:val="0"/>
        <w:spacing w:line="620" w:lineRule="exact"/>
        <w:ind w:firstLine="642"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kern w:val="0"/>
          <w:sz w:val="32"/>
          <w:szCs w:val="32"/>
        </w:rPr>
        <w:t>研究方向</w:t>
      </w:r>
      <w:r>
        <w:rPr>
          <w:rFonts w:hint="eastAsia" w:ascii="仿宋_GB2312" w:hAnsi="仿宋_GB2312" w:eastAsia="仿宋_GB2312" w:cs="仿宋_GB2312"/>
          <w:b/>
          <w:bCs/>
          <w:color w:val="000000"/>
          <w:kern w:val="0"/>
          <w:sz w:val="32"/>
          <w:szCs w:val="32"/>
        </w:rPr>
        <w:t>6</w:t>
      </w:r>
      <w:r>
        <w:rPr>
          <w:rFonts w:hint="eastAsia" w:ascii="仿宋_GB2312" w:hAnsi="仿宋_GB2312" w:eastAsia="仿宋_GB2312" w:cs="仿宋_GB2312"/>
          <w:b/>
          <w:kern w:val="0"/>
          <w:sz w:val="32"/>
          <w:szCs w:val="32"/>
        </w:rPr>
        <w:t>（指南代码D1906）</w:t>
      </w:r>
      <w:r>
        <w:rPr>
          <w:rFonts w:hint="eastAsia" w:ascii="仿宋_GB2312" w:hAnsi="仿宋_GB2312" w:eastAsia="仿宋_GB2312" w:cs="仿宋_GB2312"/>
          <w:b/>
          <w:bCs/>
          <w:color w:val="000000"/>
          <w:kern w:val="0"/>
          <w:sz w:val="32"/>
          <w:szCs w:val="32"/>
        </w:rPr>
        <w:t xml:space="preserve">：草食家畜营养调控技术研究与饲料研发 </w:t>
      </w:r>
    </w:p>
    <w:p>
      <w:pPr>
        <w:widowControl/>
        <w:adjustRightInd w:val="0"/>
        <w:snapToGrid w:val="0"/>
        <w:spacing w:line="62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研究内容：开展草食家畜营养调控技术研究，开展</w:t>
      </w:r>
      <w:r>
        <w:rPr>
          <w:rFonts w:hint="eastAsia" w:ascii="仿宋_GB2312" w:hAnsi="仿宋_GB2312" w:eastAsia="仿宋_GB2312" w:cs="仿宋_GB2312"/>
          <w:color w:val="000000"/>
          <w:spacing w:val="-2"/>
          <w:kern w:val="0"/>
          <w:sz w:val="32"/>
          <w:szCs w:val="32"/>
        </w:rPr>
        <w:t>功能性生物发酵饲料、</w:t>
      </w:r>
      <w:r>
        <w:rPr>
          <w:rFonts w:hint="eastAsia" w:ascii="仿宋_GB2312" w:hAnsi="仿宋_GB2312" w:eastAsia="仿宋_GB2312" w:cs="仿宋_GB2312"/>
          <w:bCs/>
          <w:color w:val="000000"/>
          <w:kern w:val="0"/>
          <w:sz w:val="32"/>
          <w:szCs w:val="32"/>
        </w:rPr>
        <w:t>新型绿色饲料添加剂研发。</w:t>
      </w:r>
    </w:p>
    <w:p>
      <w:pPr>
        <w:widowControl/>
        <w:adjustRightInd w:val="0"/>
        <w:snapToGrid w:val="0"/>
        <w:spacing w:line="620" w:lineRule="exact"/>
        <w:ind w:firstLine="642"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kern w:val="0"/>
          <w:sz w:val="32"/>
          <w:szCs w:val="32"/>
        </w:rPr>
        <w:t>研究方向</w:t>
      </w:r>
      <w:r>
        <w:rPr>
          <w:rFonts w:hint="eastAsia" w:ascii="仿宋_GB2312" w:hAnsi="仿宋_GB2312" w:eastAsia="仿宋_GB2312" w:cs="仿宋_GB2312"/>
          <w:b/>
          <w:bCs/>
          <w:color w:val="000000"/>
          <w:kern w:val="0"/>
          <w:sz w:val="32"/>
          <w:szCs w:val="32"/>
        </w:rPr>
        <w:t>7</w:t>
      </w:r>
      <w:r>
        <w:rPr>
          <w:rFonts w:hint="eastAsia" w:ascii="仿宋_GB2312" w:hAnsi="仿宋_GB2312" w:eastAsia="仿宋_GB2312" w:cs="仿宋_GB2312"/>
          <w:b/>
          <w:kern w:val="0"/>
          <w:sz w:val="32"/>
          <w:szCs w:val="32"/>
        </w:rPr>
        <w:t>（指南代码D1907）</w:t>
      </w:r>
      <w:r>
        <w:rPr>
          <w:rFonts w:hint="eastAsia" w:ascii="仿宋_GB2312" w:hAnsi="仿宋_GB2312" w:eastAsia="仿宋_GB2312" w:cs="仿宋_GB2312"/>
          <w:b/>
          <w:bCs/>
          <w:color w:val="000000"/>
          <w:kern w:val="0"/>
          <w:sz w:val="32"/>
          <w:szCs w:val="32"/>
        </w:rPr>
        <w:t xml:space="preserve">：动物疫病防控关键技术研究 </w:t>
      </w:r>
    </w:p>
    <w:p>
      <w:pPr>
        <w:widowControl/>
        <w:adjustRightInd w:val="0"/>
        <w:snapToGrid w:val="0"/>
        <w:spacing w:line="620" w:lineRule="exact"/>
        <w:ind w:firstLine="640" w:firstLineChars="200"/>
        <w:rPr>
          <w:rFonts w:ascii="仿宋_GB2312" w:hAnsi="仿宋_GB2312" w:eastAsia="仿宋_GB2312" w:cs="仿宋_GB2312"/>
          <w:bCs/>
          <w:spacing w:val="-1"/>
          <w:kern w:val="0"/>
          <w:sz w:val="32"/>
          <w:szCs w:val="32"/>
        </w:rPr>
      </w:pPr>
      <w:r>
        <w:rPr>
          <w:rFonts w:hint="eastAsia" w:ascii="仿宋_GB2312" w:hAnsi="仿宋_GB2312" w:eastAsia="仿宋_GB2312" w:cs="仿宋_GB2312"/>
          <w:bCs/>
          <w:color w:val="000000"/>
          <w:kern w:val="0"/>
          <w:sz w:val="32"/>
          <w:szCs w:val="32"/>
        </w:rPr>
        <w:t>研究内容：开展动物疫病防控及检测技术研究，开展安全高效兽药研制</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pacing w:val="-1"/>
          <w:kern w:val="0"/>
          <w:sz w:val="32"/>
          <w:szCs w:val="32"/>
        </w:rPr>
        <w:t>疾病精准诊断技术研发。</w:t>
      </w:r>
    </w:p>
    <w:p>
      <w:pPr>
        <w:widowControl/>
        <w:adjustRightInd w:val="0"/>
        <w:snapToGrid w:val="0"/>
        <w:spacing w:line="620" w:lineRule="exact"/>
        <w:ind w:firstLine="642"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有关说明：此领域研究方向1、4、7由企业牵头申报。</w:t>
      </w:r>
    </w:p>
    <w:p>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十、智慧农牧业</w:t>
      </w:r>
    </w:p>
    <w:p>
      <w:pPr>
        <w:widowControl/>
        <w:adjustRightInd w:val="0"/>
        <w:snapToGrid w:val="0"/>
        <w:spacing w:line="620" w:lineRule="exact"/>
        <w:ind w:firstLine="642"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kern w:val="0"/>
          <w:sz w:val="32"/>
          <w:szCs w:val="32"/>
        </w:rPr>
        <w:t>研究方向</w:t>
      </w:r>
      <w:r>
        <w:rPr>
          <w:rFonts w:hint="eastAsia" w:ascii="仿宋_GB2312" w:hAnsi="仿宋_GB2312" w:eastAsia="仿宋_GB2312" w:cs="仿宋_GB2312"/>
          <w:b/>
          <w:bCs/>
          <w:color w:val="000000"/>
          <w:kern w:val="0"/>
          <w:sz w:val="32"/>
          <w:szCs w:val="32"/>
        </w:rPr>
        <w:t>1</w:t>
      </w:r>
      <w:r>
        <w:rPr>
          <w:rFonts w:hint="eastAsia" w:ascii="仿宋_GB2312" w:hAnsi="仿宋_GB2312" w:eastAsia="仿宋_GB2312" w:cs="仿宋_GB2312"/>
          <w:b/>
          <w:kern w:val="0"/>
          <w:sz w:val="32"/>
          <w:szCs w:val="32"/>
        </w:rPr>
        <w:t>（指南代码D2001）</w:t>
      </w:r>
      <w:r>
        <w:rPr>
          <w:rFonts w:hint="eastAsia" w:ascii="仿宋_GB2312" w:hAnsi="仿宋_GB2312" w:eastAsia="仿宋_GB2312" w:cs="仿宋_GB2312"/>
          <w:b/>
          <w:bCs/>
          <w:color w:val="000000"/>
          <w:kern w:val="0"/>
          <w:sz w:val="32"/>
          <w:szCs w:val="32"/>
        </w:rPr>
        <w:t>：智慧型农牧业生产技术研发</w:t>
      </w:r>
    </w:p>
    <w:p>
      <w:pPr>
        <w:widowControl/>
        <w:adjustRightInd w:val="0"/>
        <w:snapToGrid w:val="0"/>
        <w:spacing w:line="620" w:lineRule="exact"/>
        <w:ind w:firstLine="640" w:firstLineChars="200"/>
        <w:rPr>
          <w:rFonts w:ascii="仿宋_GB2312" w:hAnsi="仿宋_GB2312" w:eastAsia="仿宋_GB2312" w:cs="仿宋_GB2312"/>
          <w:color w:val="000000"/>
          <w:spacing w:val="6"/>
          <w:kern w:val="0"/>
          <w:sz w:val="32"/>
          <w:szCs w:val="32"/>
        </w:rPr>
      </w:pPr>
      <w:r>
        <w:rPr>
          <w:rFonts w:hint="eastAsia" w:ascii="仿宋_GB2312" w:hAnsi="仿宋_GB2312" w:eastAsia="仿宋_GB2312" w:cs="仿宋_GB2312"/>
          <w:bCs/>
          <w:color w:val="000000"/>
          <w:kern w:val="0"/>
          <w:sz w:val="32"/>
          <w:szCs w:val="32"/>
        </w:rPr>
        <w:t>研究内容：开展农业精准管控、智慧养殖、</w:t>
      </w:r>
      <w:r>
        <w:rPr>
          <w:rFonts w:hint="eastAsia" w:ascii="仿宋_GB2312" w:hAnsi="仿宋_GB2312" w:eastAsia="仿宋_GB2312" w:cs="仿宋_GB2312"/>
          <w:color w:val="000000"/>
          <w:spacing w:val="6"/>
          <w:kern w:val="0"/>
          <w:sz w:val="32"/>
          <w:szCs w:val="32"/>
        </w:rPr>
        <w:t>智慧草牧业关键技术研发与推广。</w:t>
      </w:r>
    </w:p>
    <w:p>
      <w:pPr>
        <w:widowControl/>
        <w:adjustRightInd w:val="0"/>
        <w:snapToGrid w:val="0"/>
        <w:spacing w:line="620" w:lineRule="exact"/>
        <w:ind w:firstLine="642"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kern w:val="0"/>
          <w:sz w:val="32"/>
          <w:szCs w:val="32"/>
        </w:rPr>
        <w:t>研究方向</w:t>
      </w:r>
      <w:r>
        <w:rPr>
          <w:rFonts w:hint="eastAsia" w:ascii="仿宋_GB2312" w:hAnsi="仿宋_GB2312" w:eastAsia="仿宋_GB2312" w:cs="仿宋_GB2312"/>
          <w:b/>
          <w:bCs/>
          <w:color w:val="000000"/>
          <w:kern w:val="0"/>
          <w:sz w:val="32"/>
          <w:szCs w:val="32"/>
        </w:rPr>
        <w:t>2</w:t>
      </w:r>
      <w:r>
        <w:rPr>
          <w:rFonts w:hint="eastAsia" w:ascii="仿宋_GB2312" w:hAnsi="仿宋_GB2312" w:eastAsia="仿宋_GB2312" w:cs="仿宋_GB2312"/>
          <w:b/>
          <w:kern w:val="0"/>
          <w:sz w:val="32"/>
          <w:szCs w:val="32"/>
        </w:rPr>
        <w:t>（指南代码D2002）</w:t>
      </w:r>
      <w:r>
        <w:rPr>
          <w:rFonts w:hint="eastAsia" w:ascii="仿宋_GB2312" w:hAnsi="仿宋_GB2312" w:eastAsia="仿宋_GB2312" w:cs="仿宋_GB2312"/>
          <w:b/>
          <w:bCs/>
          <w:color w:val="000000"/>
          <w:kern w:val="0"/>
          <w:sz w:val="32"/>
          <w:szCs w:val="32"/>
        </w:rPr>
        <w:t>：农牧业智能化装备研发与应用</w:t>
      </w:r>
    </w:p>
    <w:p>
      <w:pPr>
        <w:adjustRightInd w:val="0"/>
        <w:snapToGrid w:val="0"/>
        <w:spacing w:line="620" w:lineRule="exact"/>
        <w:ind w:firstLine="640" w:firstLineChars="200"/>
        <w:rPr>
          <w:rFonts w:ascii="仿宋_GB2312" w:hAnsi="仿宋_GB2312" w:eastAsia="仿宋_GB2312" w:cs="仿宋_GB2312"/>
          <w:bCs/>
          <w:color w:val="000000"/>
          <w:spacing w:val="-2"/>
          <w:sz w:val="32"/>
          <w:szCs w:val="32"/>
        </w:rPr>
      </w:pPr>
      <w:r>
        <w:rPr>
          <w:rFonts w:hint="eastAsia" w:ascii="仿宋_GB2312" w:hAnsi="仿宋_GB2312" w:eastAsia="仿宋_GB2312" w:cs="仿宋_GB2312"/>
          <w:bCs/>
          <w:color w:val="000000"/>
          <w:kern w:val="0"/>
          <w:sz w:val="32"/>
          <w:szCs w:val="32"/>
        </w:rPr>
        <w:t>研究内容：开展</w:t>
      </w:r>
      <w:r>
        <w:rPr>
          <w:rFonts w:hint="eastAsia" w:ascii="仿宋_GB2312" w:hAnsi="仿宋_GB2312" w:eastAsia="仿宋_GB2312" w:cs="仿宋_GB2312"/>
          <w:bCs/>
          <w:color w:val="000000"/>
          <w:sz w:val="32"/>
          <w:szCs w:val="32"/>
        </w:rPr>
        <w:t>农作物耕种收装备研发；开展</w:t>
      </w:r>
      <w:r>
        <w:rPr>
          <w:rFonts w:hint="eastAsia" w:ascii="仿宋_GB2312" w:hAnsi="仿宋_GB2312" w:eastAsia="仿宋_GB2312" w:cs="仿宋_GB2312"/>
          <w:bCs/>
          <w:color w:val="000000"/>
          <w:spacing w:val="-2"/>
          <w:sz w:val="32"/>
          <w:szCs w:val="32"/>
        </w:rPr>
        <w:t>草原补播、灌木平茬、沙障栽植铺设等装备研发；开展智能化畜牧养殖装备研发。</w:t>
      </w:r>
    </w:p>
    <w:p>
      <w:pPr>
        <w:adjustRightInd w:val="0"/>
        <w:snapToGrid w:val="0"/>
        <w:spacing w:line="620" w:lineRule="exact"/>
        <w:ind w:firstLine="642"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有关说明：此领域研究方向2由企业牵头申报。</w:t>
      </w:r>
    </w:p>
    <w:p>
      <w:pPr>
        <w:widowControl/>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十一、农畜产品生产加工</w:t>
      </w:r>
    </w:p>
    <w:p>
      <w:pPr>
        <w:widowControl/>
        <w:adjustRightInd w:val="0"/>
        <w:snapToGrid w:val="0"/>
        <w:spacing w:line="620" w:lineRule="exact"/>
        <w:ind w:firstLine="642"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研究方向1</w:t>
      </w:r>
      <w:r>
        <w:rPr>
          <w:rFonts w:hint="eastAsia" w:ascii="仿宋_GB2312" w:hAnsi="仿宋_GB2312" w:eastAsia="仿宋_GB2312" w:cs="仿宋_GB2312"/>
          <w:b/>
          <w:kern w:val="0"/>
          <w:sz w:val="32"/>
          <w:szCs w:val="32"/>
        </w:rPr>
        <w:t>（指南代码D2101）</w:t>
      </w:r>
      <w:r>
        <w:rPr>
          <w:rFonts w:hint="eastAsia" w:ascii="仿宋_GB2312" w:hAnsi="仿宋_GB2312" w:eastAsia="仿宋_GB2312" w:cs="仿宋_GB2312"/>
          <w:b/>
          <w:bCs/>
          <w:color w:val="000000"/>
          <w:kern w:val="0"/>
          <w:sz w:val="32"/>
          <w:szCs w:val="32"/>
        </w:rPr>
        <w:t xml:space="preserve">：果蔬加工技术研究 </w:t>
      </w:r>
    </w:p>
    <w:p>
      <w:pPr>
        <w:widowControl/>
        <w:adjustRightInd w:val="0"/>
        <w:snapToGrid w:val="0"/>
        <w:spacing w:line="62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研究内容：开展东北区域特色果蔬保鲜、精深加工关键技术研究。</w:t>
      </w:r>
    </w:p>
    <w:p>
      <w:pPr>
        <w:adjustRightInd w:val="0"/>
        <w:snapToGrid w:val="0"/>
        <w:spacing w:line="62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研究方向2</w:t>
      </w:r>
      <w:r>
        <w:rPr>
          <w:rFonts w:hint="eastAsia" w:ascii="仿宋_GB2312" w:hAnsi="仿宋_GB2312" w:eastAsia="仿宋_GB2312" w:cs="仿宋_GB2312"/>
          <w:b/>
          <w:sz w:val="32"/>
          <w:szCs w:val="32"/>
        </w:rPr>
        <w:t>（指南代码D2102）</w:t>
      </w:r>
      <w:r>
        <w:rPr>
          <w:rFonts w:hint="eastAsia" w:ascii="仿宋_GB2312" w:hAnsi="仿宋_GB2312" w:eastAsia="仿宋_GB2312" w:cs="仿宋_GB2312"/>
          <w:b/>
          <w:bCs/>
          <w:color w:val="000000"/>
          <w:sz w:val="32"/>
          <w:szCs w:val="32"/>
        </w:rPr>
        <w:t>：粮油加工技术研究</w:t>
      </w:r>
    </w:p>
    <w:p>
      <w:pPr>
        <w:widowControl/>
        <w:adjustRightInd w:val="0"/>
        <w:snapToGrid w:val="0"/>
        <w:spacing w:line="6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color w:val="000000"/>
          <w:kern w:val="0"/>
          <w:sz w:val="32"/>
          <w:szCs w:val="32"/>
        </w:rPr>
        <w:t>研究内容：开展</w:t>
      </w:r>
      <w:r>
        <w:rPr>
          <w:rFonts w:hint="eastAsia" w:ascii="仿宋_GB2312" w:hAnsi="仿宋_GB2312" w:eastAsia="仿宋_GB2312" w:cs="仿宋_GB2312"/>
          <w:bCs/>
          <w:kern w:val="0"/>
          <w:sz w:val="32"/>
          <w:szCs w:val="32"/>
        </w:rPr>
        <w:t>粮油精深加工和副产物高值化利用关键技术研究。</w:t>
      </w:r>
    </w:p>
    <w:p>
      <w:pPr>
        <w:adjustRightInd w:val="0"/>
        <w:snapToGrid w:val="0"/>
        <w:spacing w:line="62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研究方向3</w:t>
      </w:r>
      <w:r>
        <w:rPr>
          <w:rFonts w:hint="eastAsia" w:ascii="仿宋_GB2312" w:hAnsi="仿宋_GB2312" w:eastAsia="仿宋_GB2312" w:cs="仿宋_GB2312"/>
          <w:b/>
          <w:sz w:val="32"/>
          <w:szCs w:val="32"/>
        </w:rPr>
        <w:t>（指南代码D2103）</w:t>
      </w:r>
      <w:r>
        <w:rPr>
          <w:rFonts w:hint="eastAsia" w:ascii="仿宋_GB2312" w:hAnsi="仿宋_GB2312" w:eastAsia="仿宋_GB2312" w:cs="仿宋_GB2312"/>
          <w:b/>
          <w:bCs/>
          <w:color w:val="000000"/>
          <w:sz w:val="32"/>
          <w:szCs w:val="32"/>
        </w:rPr>
        <w:t>：乳制品安全加工技术研究</w:t>
      </w:r>
    </w:p>
    <w:p>
      <w:pPr>
        <w:adjustRightInd w:val="0"/>
        <w:snapToGrid w:val="0"/>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color w:val="000000"/>
          <w:kern w:val="0"/>
          <w:sz w:val="32"/>
          <w:szCs w:val="32"/>
        </w:rPr>
        <w:t>研究内容：</w:t>
      </w:r>
      <w:r>
        <w:rPr>
          <w:rFonts w:hint="eastAsia" w:ascii="仿宋_GB2312" w:hAnsi="仿宋_GB2312" w:eastAsia="仿宋_GB2312" w:cs="仿宋_GB2312"/>
          <w:bCs/>
          <w:color w:val="000000"/>
          <w:sz w:val="32"/>
          <w:szCs w:val="32"/>
        </w:rPr>
        <w:t>开展功能性乳制品、特色乳制品加工技术创新研究与推广。</w:t>
      </w:r>
    </w:p>
    <w:p>
      <w:pPr>
        <w:adjustRightInd w:val="0"/>
        <w:snapToGrid w:val="0"/>
        <w:spacing w:line="62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研究方向4</w:t>
      </w:r>
      <w:r>
        <w:rPr>
          <w:rFonts w:hint="eastAsia" w:ascii="仿宋_GB2312" w:hAnsi="仿宋_GB2312" w:eastAsia="仿宋_GB2312" w:cs="仿宋_GB2312"/>
          <w:b/>
          <w:sz w:val="32"/>
          <w:szCs w:val="32"/>
        </w:rPr>
        <w:t>（指南代码D2104）</w:t>
      </w:r>
      <w:r>
        <w:rPr>
          <w:rFonts w:hint="eastAsia" w:ascii="仿宋_GB2312" w:hAnsi="仿宋_GB2312" w:eastAsia="仿宋_GB2312" w:cs="仿宋_GB2312"/>
          <w:b/>
          <w:bCs/>
          <w:color w:val="000000"/>
          <w:sz w:val="32"/>
          <w:szCs w:val="32"/>
        </w:rPr>
        <w:t>：肉制品安全加工技术研究</w:t>
      </w:r>
    </w:p>
    <w:p>
      <w:pPr>
        <w:widowControl/>
        <w:adjustRightInd w:val="0"/>
        <w:snapToGrid w:val="0"/>
        <w:spacing w:line="62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研究内容：开展牛羊肉品质调控、精深加工及副产物综合利用关键技术研究与推广。</w:t>
      </w:r>
    </w:p>
    <w:p>
      <w:pPr>
        <w:adjustRightInd w:val="0"/>
        <w:snapToGrid w:val="0"/>
        <w:spacing w:line="620" w:lineRule="exact"/>
        <w:ind w:firstLine="642"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有关说明：此领域研究方向1、2由企业牵头申报。</w:t>
      </w:r>
    </w:p>
    <w:p>
      <w:pPr>
        <w:widowControl/>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十二、重点区域生态保护与修复</w:t>
      </w:r>
    </w:p>
    <w:p>
      <w:pPr>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研究方向1</w:t>
      </w:r>
      <w:bookmarkStart w:id="7" w:name="OLE_LINK12"/>
      <w:bookmarkStart w:id="8" w:name="OLE_LINK13"/>
      <w:r>
        <w:rPr>
          <w:rFonts w:hint="eastAsia" w:ascii="仿宋_GB2312" w:hAnsi="仿宋_GB2312" w:eastAsia="仿宋_GB2312" w:cs="仿宋_GB2312"/>
          <w:b/>
          <w:sz w:val="32"/>
          <w:szCs w:val="32"/>
        </w:rPr>
        <w:t>（指南代码D2201）</w:t>
      </w:r>
      <w:bookmarkEnd w:id="7"/>
      <w:bookmarkEnd w:id="8"/>
      <w:r>
        <w:rPr>
          <w:rFonts w:hint="eastAsia" w:ascii="仿宋_GB2312" w:hAnsi="仿宋_GB2312" w:eastAsia="仿宋_GB2312" w:cs="仿宋_GB2312"/>
          <w:b/>
          <w:sz w:val="32"/>
          <w:szCs w:val="32"/>
        </w:rPr>
        <w:t>：退化沙化草地生态修复</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研究内容：</w:t>
      </w:r>
      <w:r>
        <w:rPr>
          <w:rFonts w:hint="eastAsia" w:ascii="仿宋_GB2312" w:hAnsi="仿宋_GB2312" w:eastAsia="仿宋_GB2312" w:cs="仿宋_GB2312"/>
          <w:sz w:val="32"/>
          <w:szCs w:val="32"/>
        </w:rPr>
        <w:t>开展退化沙化草地“空-天-地”一体化智能监测和健康状况快速精准诊断技术研发；研制新型土壤改良剂和植被快速恢复制剂及配套施工作业装备，突破沙化草地免沙障治理技术；研发退化草地精准修复的高效补播装置和精准施肥设备；研发基于生态适应牧草品种应用下退化草地快速恢复技术。</w:t>
      </w:r>
    </w:p>
    <w:p>
      <w:pPr>
        <w:adjustRightInd w:val="0"/>
        <w:snapToGrid w:val="0"/>
        <w:spacing w:line="62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研究方向2</w:t>
      </w:r>
      <w:r>
        <w:rPr>
          <w:rFonts w:hint="eastAsia" w:ascii="仿宋_GB2312" w:hAnsi="仿宋_GB2312" w:eastAsia="仿宋_GB2312" w:cs="仿宋_GB2312"/>
          <w:b/>
          <w:sz w:val="32"/>
          <w:szCs w:val="32"/>
        </w:rPr>
        <w:t>（指南代码D2202）</w:t>
      </w:r>
      <w:r>
        <w:rPr>
          <w:rFonts w:hint="eastAsia" w:ascii="仿宋_GB2312" w:hAnsi="仿宋_GB2312" w:eastAsia="仿宋_GB2312" w:cs="仿宋_GB2312"/>
          <w:b/>
          <w:bCs/>
          <w:color w:val="000000"/>
          <w:sz w:val="32"/>
          <w:szCs w:val="32"/>
        </w:rPr>
        <w:t>：森林生态系统修复与保育</w:t>
      </w:r>
    </w:p>
    <w:p>
      <w:pPr>
        <w:widowControl/>
        <w:adjustRightInd w:val="0"/>
        <w:snapToGrid w:val="0"/>
        <w:spacing w:line="62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sz w:val="32"/>
          <w:szCs w:val="32"/>
        </w:rPr>
        <w:t>研究内容：</w:t>
      </w:r>
      <w:r>
        <w:rPr>
          <w:rFonts w:hint="eastAsia" w:ascii="仿宋_GB2312" w:hAnsi="仿宋_GB2312" w:eastAsia="仿宋_GB2312" w:cs="仿宋_GB2312"/>
          <w:bCs/>
          <w:color w:val="000000"/>
          <w:kern w:val="0"/>
          <w:sz w:val="32"/>
          <w:szCs w:val="32"/>
        </w:rPr>
        <w:t>开展优良树种和生态经济型树种的选育、栽培、造林关键技术研究；开展基于无人机遥感、卫星遥感等多源数据的森林资源状况监测和森林健康评估技术研发；开展现有林地定向更新和提质增效关键技术研发。</w:t>
      </w:r>
    </w:p>
    <w:p>
      <w:pPr>
        <w:adjustRightInd w:val="0"/>
        <w:snapToGrid w:val="0"/>
        <w:spacing w:line="620" w:lineRule="exact"/>
        <w:ind w:firstLine="642"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研究方向3</w:t>
      </w:r>
      <w:r>
        <w:rPr>
          <w:rFonts w:hint="eastAsia" w:ascii="仿宋_GB2312" w:hAnsi="仿宋_GB2312" w:eastAsia="仿宋_GB2312" w:cs="仿宋_GB2312"/>
          <w:b/>
          <w:sz w:val="32"/>
          <w:szCs w:val="32"/>
        </w:rPr>
        <w:t>（指南代码D2203）</w:t>
      </w:r>
      <w:r>
        <w:rPr>
          <w:rFonts w:hint="eastAsia" w:ascii="仿宋_GB2312" w:hAnsi="仿宋_GB2312" w:eastAsia="仿宋_GB2312" w:cs="仿宋_GB2312"/>
          <w:b/>
          <w:bCs/>
          <w:sz w:val="32"/>
          <w:szCs w:val="32"/>
        </w:rPr>
        <w:t>：主要生态系统生态产品价值实现</w:t>
      </w:r>
    </w:p>
    <w:p>
      <w:pPr>
        <w:adjustRightInd w:val="0"/>
        <w:snapToGrid w:val="0"/>
        <w:spacing w:line="620" w:lineRule="exact"/>
        <w:ind w:firstLine="640" w:firstLineChars="200"/>
        <w:rPr>
          <w:rFonts w:ascii="仿宋_GB2312" w:hAnsi="仿宋_GB2312" w:eastAsia="仿宋_GB2312" w:cs="仿宋_GB2312"/>
          <w:b/>
          <w:sz w:val="32"/>
          <w:szCs w:val="32"/>
          <w:highlight w:val="yellow"/>
        </w:rPr>
      </w:pPr>
      <w:r>
        <w:rPr>
          <w:rFonts w:hint="eastAsia" w:ascii="仿宋_GB2312" w:hAnsi="仿宋_GB2312" w:eastAsia="仿宋_GB2312" w:cs="仿宋_GB2312"/>
          <w:bCs/>
          <w:sz w:val="32"/>
          <w:szCs w:val="32"/>
        </w:rPr>
        <w:t>研究内容：</w:t>
      </w:r>
      <w:r>
        <w:rPr>
          <w:rFonts w:hint="eastAsia" w:ascii="仿宋_GB2312" w:hAnsi="仿宋_GB2312" w:eastAsia="仿宋_GB2312" w:cs="仿宋_GB2312"/>
          <w:sz w:val="32"/>
          <w:szCs w:val="32"/>
        </w:rPr>
        <w:t>建立主要生态系统生态产品核算本底数据库，</w:t>
      </w:r>
      <w:r>
        <w:rPr>
          <w:rFonts w:hint="eastAsia" w:ascii="仿宋_GB2312" w:hAnsi="仿宋_GB2312" w:eastAsia="仿宋_GB2312" w:cs="仿宋_GB2312"/>
          <w:bCs/>
          <w:sz w:val="32"/>
          <w:szCs w:val="32"/>
        </w:rPr>
        <w:t>研发典型生态系统及风光可再生能源、冰雪冷资源的生态产品价值核算评估技术；</w:t>
      </w:r>
      <w:r>
        <w:rPr>
          <w:rFonts w:hint="eastAsia" w:ascii="仿宋_GB2312" w:hAnsi="仿宋_GB2312" w:eastAsia="仿宋_GB2312" w:cs="仿宋_GB2312"/>
          <w:sz w:val="32"/>
          <w:szCs w:val="32"/>
        </w:rPr>
        <w:t>分析生态产品市场化路径，建立多元化生态产品交易模式与配套技术系统；</w:t>
      </w:r>
      <w:r>
        <w:rPr>
          <w:rFonts w:hint="eastAsia" w:ascii="仿宋_GB2312" w:hAnsi="仿宋_GB2312" w:eastAsia="仿宋_GB2312" w:cs="仿宋_GB2312"/>
          <w:bCs/>
          <w:sz w:val="32"/>
          <w:szCs w:val="32"/>
        </w:rPr>
        <w:t>构建基于空天地监测与区块链技术的生态产品-碳汇-绿电一体化价值认证溯源平台；探索“可再生能源开发+生态补偿”“冰雪品牌+特许经营”等多元化价值实现模式与机制，在典型区域推广。</w:t>
      </w:r>
    </w:p>
    <w:p>
      <w:pPr>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研究方向4（指南代码D2204）：生物灾害监测与综合防控</w:t>
      </w:r>
    </w:p>
    <w:p>
      <w:pPr>
        <w:adjustRightInd w:val="0"/>
        <w:snapToGrid w:val="0"/>
        <w:spacing w:line="620" w:lineRule="exact"/>
        <w:ind w:firstLine="640" w:firstLineChars="200"/>
        <w:rPr>
          <w:rFonts w:ascii="仿宋_GB2312" w:hAnsi="仿宋_GB2312" w:eastAsia="仿宋_GB2312" w:cs="仿宋_GB2312"/>
          <w:sz w:val="32"/>
          <w:szCs w:val="32"/>
        </w:rPr>
      </w:pPr>
      <w:bookmarkStart w:id="9" w:name="OLE_LINK120"/>
      <w:bookmarkStart w:id="10" w:name="OLE_LINK119"/>
      <w:r>
        <w:rPr>
          <w:rFonts w:hint="eastAsia" w:ascii="仿宋_GB2312" w:hAnsi="仿宋_GB2312" w:eastAsia="仿宋_GB2312" w:cs="仿宋_GB2312"/>
          <w:sz w:val="32"/>
          <w:szCs w:val="32"/>
        </w:rPr>
        <w:t>研究内容：</w:t>
      </w:r>
      <w:bookmarkEnd w:id="9"/>
      <w:bookmarkEnd w:id="10"/>
      <w:r>
        <w:rPr>
          <w:rFonts w:hint="eastAsia" w:ascii="仿宋_GB2312" w:hAnsi="仿宋_GB2312" w:eastAsia="仿宋_GB2312" w:cs="仿宋_GB2312"/>
          <w:sz w:val="32"/>
          <w:szCs w:val="32"/>
        </w:rPr>
        <w:t>研发“空-天-地”一体化森林病虫害识别技术，构建生物灾害动态评估预测技术体系；研究有害昆虫、鼠类种群动态监测和绿色防控技术；创新入侵杂草立体防控技术；研发毒害草生态替代模式，建立竞争性植物配置生态调控技术。</w:t>
      </w:r>
    </w:p>
    <w:p>
      <w:pPr>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研究方向5（指南代码D2205）：黑土区生态治理与保护 </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研发黑土区肥力及侵蚀状况多维度动态监测与评估技术；构建植被-土壤-微生物协同修复体系，增强生态系统韧性；开展土壤有机质提升、水土流失防控及盐碱化改良等退化黑土修复关键技术研发与推广。</w:t>
      </w:r>
    </w:p>
    <w:p>
      <w:pPr>
        <w:widowControl/>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十三、污染防治</w:t>
      </w:r>
    </w:p>
    <w:p>
      <w:pPr>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研究方向1（指南代码D2301）：水环境质量持续改善与污染治理</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研究内容：</w:t>
      </w:r>
      <w:r>
        <w:rPr>
          <w:rFonts w:hint="eastAsia" w:ascii="仿宋_GB2312" w:hAnsi="仿宋_GB2312" w:eastAsia="仿宋_GB2312" w:cs="仿宋_GB2312"/>
          <w:sz w:val="32"/>
          <w:szCs w:val="32"/>
        </w:rPr>
        <w:t>开展重点流域水生态环境保护与修复治理技术研发；开展“三水”统筹重构、治理和修复关键技术研究与集成；开展重点行业工业废水绿色低碳处理和循环利用技术研究及推广；开展农畜污水治理技术研究与示范；研发垃圾渗滤液绿色低碳处理技术。</w:t>
      </w:r>
    </w:p>
    <w:p>
      <w:pPr>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研究方向2（指南代码D2302）：土壤污染和新污染物防控</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研究内容：</w:t>
      </w:r>
      <w:r>
        <w:rPr>
          <w:rFonts w:hint="eastAsia" w:ascii="仿宋_GB2312" w:hAnsi="仿宋_GB2312" w:eastAsia="仿宋_GB2312" w:cs="仿宋_GB2312"/>
          <w:sz w:val="32"/>
          <w:szCs w:val="32"/>
        </w:rPr>
        <w:t>开展典型地区土壤与地下水污染防控与修复技术研发；</w:t>
      </w:r>
      <w:r>
        <w:rPr>
          <w:rFonts w:hint="eastAsia" w:ascii="仿宋_GB2312" w:hAnsi="仿宋_GB2312" w:eastAsia="仿宋_GB2312" w:cs="仿宋_GB2312"/>
          <w:bCs/>
          <w:kern w:val="0"/>
          <w:sz w:val="32"/>
          <w:szCs w:val="32"/>
        </w:rPr>
        <w:t>开展</w:t>
      </w:r>
      <w:r>
        <w:rPr>
          <w:rFonts w:hint="eastAsia" w:ascii="仿宋_GB2312" w:hAnsi="仿宋_GB2312" w:eastAsia="仿宋_GB2312" w:cs="仿宋_GB2312"/>
          <w:bCs/>
          <w:sz w:val="32"/>
          <w:szCs w:val="32"/>
        </w:rPr>
        <w:t>重金属污染溯源防控与应急关键技术研发；</w:t>
      </w:r>
      <w:r>
        <w:rPr>
          <w:rFonts w:hint="eastAsia" w:ascii="仿宋_GB2312" w:hAnsi="仿宋_GB2312" w:eastAsia="仿宋_GB2312" w:cs="仿宋_GB2312"/>
          <w:sz w:val="32"/>
          <w:szCs w:val="32"/>
        </w:rPr>
        <w:t>开展新污染物识别与溯源关键技术研究；开展重点行业新污染物监测、评估、预警和环境风险防控技术研发与推广。</w:t>
      </w:r>
    </w:p>
    <w:p>
      <w:pPr>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研究方向3（指南代码D2303）：大气污染与人体健康</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研究内容：</w:t>
      </w:r>
      <w:r>
        <w:rPr>
          <w:rFonts w:hint="eastAsia" w:ascii="仿宋_GB2312" w:hAnsi="仿宋_GB2312" w:eastAsia="仿宋_GB2312" w:cs="仿宋_GB2312"/>
          <w:sz w:val="32"/>
          <w:szCs w:val="32"/>
        </w:rPr>
        <w:t>开展重点行业大气污染防治关键技术与装备研发；</w:t>
      </w:r>
      <w:r>
        <w:rPr>
          <w:rFonts w:hint="eastAsia" w:ascii="仿宋_GB2312" w:hAnsi="仿宋_GB2312" w:eastAsia="仿宋_GB2312" w:cs="仿宋_GB2312"/>
          <w:bCs/>
          <w:sz w:val="32"/>
          <w:szCs w:val="32"/>
        </w:rPr>
        <w:t>开展大气污染对人群呼吸系统、心血管系统等健康损害的影响评估研究；建立环境与人体健康风险识别与防控关键技术。</w:t>
      </w:r>
    </w:p>
    <w:p>
      <w:pPr>
        <w:widowControl/>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十四、资源节约集约利用</w:t>
      </w:r>
    </w:p>
    <w:p>
      <w:pPr>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研究方向1（指南代码D2401）：水资源高效开发利用</w:t>
      </w:r>
    </w:p>
    <w:p>
      <w:pPr>
        <w:adjustRightInd w:val="0"/>
        <w:snapToGrid w:val="0"/>
        <w:spacing w:line="620" w:lineRule="exact"/>
        <w:ind w:firstLine="640" w:firstLineChars="200"/>
        <w:rPr>
          <w:rFonts w:ascii="仿宋_GB2312" w:hAnsi="仿宋_GB2312" w:eastAsia="仿宋_GB2312" w:cs="仿宋_GB2312"/>
          <w:sz w:val="28"/>
          <w:szCs w:val="28"/>
        </w:rPr>
      </w:pPr>
      <w:r>
        <w:rPr>
          <w:rFonts w:hint="eastAsia" w:ascii="仿宋_GB2312" w:hAnsi="仿宋_GB2312" w:eastAsia="仿宋_GB2312" w:cs="仿宋_GB2312"/>
          <w:bCs/>
          <w:sz w:val="32"/>
          <w:szCs w:val="32"/>
        </w:rPr>
        <w:t>研究内容：</w:t>
      </w:r>
      <w:r>
        <w:rPr>
          <w:rFonts w:hint="eastAsia" w:ascii="仿宋_GB2312" w:hAnsi="仿宋_GB2312" w:eastAsia="仿宋_GB2312" w:cs="仿宋_GB2312"/>
          <w:sz w:val="32"/>
          <w:szCs w:val="32"/>
        </w:rPr>
        <w:t>开展农业深度节水控水关键技术创新与集成；开展空中云水资源高效开发利用技术研究；开展冰雪资源开发利用技术研究；开展高用水行业循环集约用水与智慧化节水技术研究与推广；开展废水资源化处理新技术研究。</w:t>
      </w:r>
    </w:p>
    <w:p>
      <w:pPr>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研究方向2（指南代码D2402）：工业固废高值化资源利用</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研究内容</w:t>
      </w:r>
      <w:r>
        <w:rPr>
          <w:rFonts w:hint="eastAsia" w:ascii="仿宋_GB2312" w:hAnsi="仿宋_GB2312" w:eastAsia="仿宋_GB2312" w:cs="仿宋_GB2312"/>
          <w:sz w:val="32"/>
          <w:szCs w:val="32"/>
        </w:rPr>
        <w:t>：开展大宗固废源头减量、过程协同利用与末端高值转化全链条绿色低碳技术研发与集成；开展有机固废无害化处置技术及装备研发；创新玄武岩纤维低碳制备技术，研制大池窑熔炼与纤维成型装备。</w:t>
      </w:r>
    </w:p>
    <w:p>
      <w:pPr>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研究方向3（指南代码D2403）：农林牧废弃物高值化利用</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研究内容：</w:t>
      </w:r>
      <w:r>
        <w:rPr>
          <w:rFonts w:hint="eastAsia" w:ascii="仿宋_GB2312" w:hAnsi="仿宋_GB2312" w:eastAsia="仿宋_GB2312" w:cs="仿宋_GB2312"/>
          <w:sz w:val="32"/>
          <w:szCs w:val="32"/>
        </w:rPr>
        <w:t>研发农林牧废弃物资源化与高值利用关键技术，开发高效转化工艺与装备；创新食用菌栽培基质配方与集约化生产技术并推广。</w:t>
      </w:r>
    </w:p>
    <w:p>
      <w:pPr>
        <w:adjustRightInd w:val="0"/>
        <w:snapToGrid w:val="0"/>
        <w:spacing w:line="620" w:lineRule="exact"/>
        <w:ind w:firstLine="642"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有关说明：此领域研究方向2由企业牵头申报。</w:t>
      </w:r>
    </w:p>
    <w:p>
      <w:pPr>
        <w:widowControl/>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十五、应对气候变化</w:t>
      </w:r>
    </w:p>
    <w:p>
      <w:pPr>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研究方向1（指南代码D2501）：生态系统碳汇能力提升</w:t>
      </w:r>
    </w:p>
    <w:p>
      <w:pPr>
        <w:adjustRightInd w:val="0"/>
        <w:snapToGrid w:val="0"/>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sz w:val="32"/>
          <w:szCs w:val="32"/>
        </w:rPr>
        <w:t>开展自然恢复和人工修复下生态系统固碳增汇过程机理、调控技术研究；</w:t>
      </w:r>
      <w:r>
        <w:rPr>
          <w:rFonts w:hint="eastAsia" w:ascii="仿宋_GB2312" w:hAnsi="仿宋_GB2312" w:eastAsia="仿宋_GB2312" w:cs="仿宋_GB2312"/>
          <w:sz w:val="32"/>
          <w:szCs w:val="32"/>
        </w:rPr>
        <w:t>开展</w:t>
      </w:r>
      <w:r>
        <w:rPr>
          <w:rFonts w:hint="eastAsia" w:ascii="仿宋_GB2312" w:hAnsi="仿宋_GB2312" w:eastAsia="仿宋_GB2312" w:cs="仿宋_GB2312"/>
          <w:bCs/>
          <w:sz w:val="32"/>
          <w:szCs w:val="32"/>
        </w:rPr>
        <w:t>森林、草原、湿地碳汇计量监测与评估技术体系研究；</w:t>
      </w:r>
      <w:r>
        <w:rPr>
          <w:rFonts w:hint="eastAsia" w:ascii="仿宋_GB2312" w:hAnsi="仿宋_GB2312" w:eastAsia="仿宋_GB2312" w:cs="仿宋_GB2312"/>
          <w:sz w:val="32"/>
          <w:szCs w:val="32"/>
        </w:rPr>
        <w:t>开展</w:t>
      </w:r>
      <w:r>
        <w:rPr>
          <w:rFonts w:hint="eastAsia" w:ascii="仿宋_GB2312" w:hAnsi="仿宋_GB2312" w:eastAsia="仿宋_GB2312" w:cs="仿宋_GB2312"/>
          <w:bCs/>
          <w:sz w:val="32"/>
          <w:szCs w:val="32"/>
        </w:rPr>
        <w:t xml:space="preserve">生态系统碳汇能力巩固提升技术研究。 </w:t>
      </w:r>
    </w:p>
    <w:p>
      <w:pPr>
        <w:adjustRightInd w:val="0"/>
        <w:snapToGrid w:val="0"/>
        <w:spacing w:line="62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研究方向2（指南代码D2502）：森林和草原气候变化响应与适应</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研究内容：研究森林、草原生态系统对气候变化的适应性分析评估技术，建立评价指标体系；通过技术集成创新，构建生态系统气候变化适应性管理技术体系；研究不同放牧梯度下典型草原植被生产力与土壤有机碳对气候变化的响应及机制；研发基于“草-畜-土”协同的适应性放牧管理技术。 </w:t>
      </w:r>
    </w:p>
    <w:p>
      <w:pPr>
        <w:adjustRightInd w:val="0"/>
        <w:snapToGrid w:val="0"/>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研究方向3（指南代码D2503）</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极端天气气候监测预警和风险防控</w:t>
      </w:r>
    </w:p>
    <w:p>
      <w:pPr>
        <w:adjustRightInd w:val="0"/>
        <w:snapToGrid w:val="0"/>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bCs/>
          <w:sz w:val="32"/>
          <w:szCs w:val="32"/>
        </w:rPr>
        <w:t>研究气候变化背景下短时极端强降水变化特征及精细化监测预警技术；研究极端降水诱发山洪早期预警技术；创新灾害预警信息发布技术，研发应急响应决策支持平台；开展气候变化适应能力和韧性提升与风险防控技术研究。</w:t>
      </w:r>
    </w:p>
    <w:p>
      <w:pPr>
        <w:widowControl/>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十六、医药产业</w:t>
      </w:r>
    </w:p>
    <w:p>
      <w:pPr>
        <w:adjustRightInd w:val="0"/>
        <w:snapToGrid w:val="0"/>
        <w:spacing w:line="62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研究方向1</w:t>
      </w:r>
      <w:r>
        <w:rPr>
          <w:rFonts w:hint="eastAsia" w:ascii="仿宋_GB2312" w:hAnsi="仿宋_GB2312" w:eastAsia="仿宋_GB2312" w:cs="仿宋_GB2312"/>
          <w:b/>
          <w:sz w:val="32"/>
          <w:szCs w:val="32"/>
        </w:rPr>
        <w:t>（指南代码D2601）：化学药研发</w:t>
      </w:r>
    </w:p>
    <w:p>
      <w:pPr>
        <w:adjustRightInd w:val="0"/>
        <w:snapToGrid w:val="0"/>
        <w:spacing w:line="6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研究内容：围绕重大疾病、常见多发病、慢性病等疾病预防与治疗，开展高端化学仿制药的工艺、质量标准和处方研究，完成生物等效性评价预实验。</w:t>
      </w:r>
    </w:p>
    <w:p>
      <w:pPr>
        <w:adjustRightInd w:val="0"/>
        <w:snapToGrid w:val="0"/>
        <w:spacing w:line="62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研究方向2</w:t>
      </w:r>
      <w:r>
        <w:rPr>
          <w:rFonts w:hint="eastAsia" w:ascii="仿宋_GB2312" w:hAnsi="仿宋_GB2312" w:eastAsia="仿宋_GB2312" w:cs="仿宋_GB2312"/>
          <w:b/>
          <w:sz w:val="32"/>
          <w:szCs w:val="32"/>
        </w:rPr>
        <w:t>（指南代码D2602）</w:t>
      </w:r>
      <w:r>
        <w:rPr>
          <w:rFonts w:hint="eastAsia" w:ascii="仿宋_GB2312" w:hAnsi="仿宋_GB2312" w:eastAsia="仿宋_GB2312" w:cs="仿宋_GB2312"/>
          <w:b/>
          <w:bCs/>
          <w:sz w:val="32"/>
          <w:szCs w:val="32"/>
        </w:rPr>
        <w:t>：中药（蒙药）新药研发</w:t>
      </w:r>
    </w:p>
    <w:p>
      <w:pPr>
        <w:adjustRightInd w:val="0"/>
        <w:snapToGrid w:val="0"/>
        <w:spacing w:line="6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研究内容：</w:t>
      </w:r>
      <w:r>
        <w:rPr>
          <w:rFonts w:hint="eastAsia" w:ascii="仿宋_GB2312" w:hAnsi="仿宋_GB2312" w:eastAsia="仿宋_GB2312" w:cs="仿宋_GB2312"/>
          <w:sz w:val="32"/>
          <w:szCs w:val="32"/>
        </w:rPr>
        <w:t>支持</w:t>
      </w:r>
      <w:r>
        <w:rPr>
          <w:rFonts w:hint="eastAsia" w:ascii="仿宋_GB2312" w:hAnsi="仿宋_GB2312" w:eastAsia="仿宋_GB2312" w:cs="仿宋_GB2312"/>
          <w:bCs/>
          <w:sz w:val="32"/>
          <w:szCs w:val="32"/>
        </w:rPr>
        <w:t>中药（蒙药）创新药物研发，完成临床前研究并获得临床研究批件或默示许可；基于古代经典名方、名老中医经验方及医院制剂的中药（蒙药）新药研发，完成临床前研究并获得药品注册受理通知书。</w:t>
      </w:r>
    </w:p>
    <w:p>
      <w:pPr>
        <w:adjustRightInd w:val="0"/>
        <w:snapToGrid w:val="0"/>
        <w:spacing w:line="62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研究方向3</w:t>
      </w:r>
      <w:r>
        <w:rPr>
          <w:rFonts w:hint="eastAsia" w:ascii="仿宋_GB2312" w:hAnsi="仿宋_GB2312" w:eastAsia="仿宋_GB2312" w:cs="仿宋_GB2312"/>
          <w:b/>
          <w:sz w:val="32"/>
          <w:szCs w:val="32"/>
        </w:rPr>
        <w:t>（指南代码D2603）</w:t>
      </w:r>
      <w:r>
        <w:rPr>
          <w:rFonts w:hint="eastAsia" w:ascii="仿宋_GB2312" w:hAnsi="仿宋_GB2312" w:eastAsia="仿宋_GB2312" w:cs="仿宋_GB2312"/>
          <w:b/>
          <w:bCs/>
          <w:sz w:val="32"/>
          <w:szCs w:val="32"/>
        </w:rPr>
        <w:t>：生物药研发</w:t>
      </w:r>
    </w:p>
    <w:p>
      <w:pPr>
        <w:adjustRightInd w:val="0"/>
        <w:snapToGrid w:val="0"/>
        <w:spacing w:line="620" w:lineRule="exact"/>
        <w:ind w:firstLine="640" w:firstLineChars="200"/>
        <w:rPr>
          <w:rFonts w:ascii="仿宋_GB2312" w:hAnsi="仿宋_GB2312" w:eastAsia="仿宋_GB2312" w:cs="仿宋_GB2312"/>
          <w:b/>
          <w:bCs/>
          <w:kern w:val="0"/>
          <w:sz w:val="32"/>
          <w:szCs w:val="32"/>
        </w:rPr>
      </w:pPr>
      <w:r>
        <w:rPr>
          <w:rFonts w:hint="eastAsia" w:ascii="仿宋_GB2312" w:hAnsi="仿宋_GB2312" w:eastAsia="仿宋_GB2312" w:cs="仿宋_GB2312"/>
          <w:bCs/>
          <w:sz w:val="32"/>
          <w:szCs w:val="32"/>
        </w:rPr>
        <w:t>研究内容：支持预防和治疗传染性疾病、恶性肿瘤等重大疾病的生物药研发。生物创新药、改良型新药需完成药学研究和非临床研究;生物类似药需完成药学和非临床比对研究。</w:t>
      </w:r>
    </w:p>
    <w:p>
      <w:pPr>
        <w:adjustRightInd w:val="0"/>
        <w:snapToGrid w:val="0"/>
        <w:spacing w:line="62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研究方向4</w:t>
      </w:r>
      <w:r>
        <w:rPr>
          <w:rFonts w:hint="eastAsia" w:ascii="仿宋_GB2312" w:hAnsi="仿宋_GB2312" w:eastAsia="仿宋_GB2312" w:cs="仿宋_GB2312"/>
          <w:b/>
          <w:sz w:val="32"/>
          <w:szCs w:val="32"/>
        </w:rPr>
        <w:t>（指南代码D2604）</w:t>
      </w:r>
      <w:r>
        <w:rPr>
          <w:rFonts w:hint="eastAsia" w:ascii="仿宋_GB2312" w:hAnsi="仿宋_GB2312" w:eastAsia="仿宋_GB2312" w:cs="仿宋_GB2312"/>
          <w:b/>
          <w:bCs/>
          <w:kern w:val="0"/>
          <w:sz w:val="32"/>
          <w:szCs w:val="32"/>
        </w:rPr>
        <w:t>：大健康产品开发</w:t>
      </w:r>
    </w:p>
    <w:p>
      <w:pPr>
        <w:adjustRightInd w:val="0"/>
        <w:snapToGrid w:val="0"/>
        <w:spacing w:line="6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研究内容：针对亚健康人群的健康需求（如改善睡眠、体重管理、慢性病调理等）开展保健食品、特医食品（药食同源）的开发研究，包括配方、功效及工艺的开发，安全性、稳定性评价，并按有关要求向国家市场监督管理总局提交完整的注册申请材料，并取得受理通知书。</w:t>
      </w:r>
      <w:bookmarkStart w:id="11" w:name="_Toc2630"/>
    </w:p>
    <w:p>
      <w:pPr>
        <w:adjustRightInd w:val="0"/>
        <w:snapToGrid w:val="0"/>
        <w:spacing w:line="620" w:lineRule="exact"/>
        <w:ind w:firstLine="642"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研究方向5</w:t>
      </w:r>
      <w:r>
        <w:rPr>
          <w:rFonts w:hint="eastAsia" w:ascii="仿宋_GB2312" w:hAnsi="仿宋_GB2312" w:eastAsia="仿宋_GB2312" w:cs="仿宋_GB2312"/>
          <w:b/>
          <w:sz w:val="32"/>
          <w:szCs w:val="32"/>
        </w:rPr>
        <w:t>（指南代码D2605）</w:t>
      </w:r>
      <w:r>
        <w:rPr>
          <w:rFonts w:hint="eastAsia" w:ascii="仿宋_GB2312" w:hAnsi="仿宋_GB2312" w:eastAsia="仿宋_GB2312" w:cs="仿宋_GB2312"/>
          <w:b/>
          <w:bCs/>
          <w:sz w:val="32"/>
          <w:szCs w:val="32"/>
        </w:rPr>
        <w:t>：诊疗装备与生物医用材料</w:t>
      </w:r>
    </w:p>
    <w:p>
      <w:pPr>
        <w:adjustRightInd w:val="0"/>
        <w:snapToGrid w:val="0"/>
        <w:spacing w:line="62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研究内容：</w:t>
      </w:r>
      <w:r>
        <w:rPr>
          <w:rFonts w:hint="eastAsia" w:ascii="仿宋_GB2312" w:hAnsi="仿宋_GB2312" w:eastAsia="仿宋_GB2312" w:cs="仿宋_GB2312"/>
          <w:bCs/>
          <w:sz w:val="32"/>
          <w:szCs w:val="32"/>
        </w:rPr>
        <w:t>支持精准医学影像设备、智能手术与治疗装备、体外诊断创新产品、生物可降解材料等医疗器械及高性能医用材料研发；支持适老助残智能产品研发。</w:t>
      </w:r>
    </w:p>
    <w:p>
      <w:pPr>
        <w:adjustRightInd w:val="0"/>
        <w:snapToGrid w:val="0"/>
        <w:spacing w:line="62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有关说明：此领域研究方向2、3、4由企业牵头申报。</w:t>
      </w:r>
    </w:p>
    <w:p>
      <w:pPr>
        <w:widowControl/>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十七、绿色生物制造</w:t>
      </w:r>
      <w:bookmarkEnd w:id="11"/>
      <w:bookmarkStart w:id="12" w:name="_Toc13109"/>
    </w:p>
    <w:p>
      <w:pPr>
        <w:adjustRightInd w:val="0"/>
        <w:snapToGrid w:val="0"/>
        <w:spacing w:line="62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研究方向1</w:t>
      </w:r>
      <w:r>
        <w:rPr>
          <w:rFonts w:hint="eastAsia" w:ascii="仿宋_GB2312" w:hAnsi="仿宋_GB2312" w:eastAsia="仿宋_GB2312" w:cs="仿宋_GB2312"/>
          <w:b/>
          <w:sz w:val="32"/>
          <w:szCs w:val="32"/>
        </w:rPr>
        <w:t>（指南代码D2701）</w:t>
      </w:r>
      <w:r>
        <w:rPr>
          <w:rFonts w:hint="eastAsia" w:ascii="仿宋_GB2312" w:hAnsi="仿宋_GB2312" w:eastAsia="仿宋_GB2312" w:cs="仿宋_GB2312"/>
          <w:b/>
          <w:bCs/>
          <w:sz w:val="32"/>
          <w:szCs w:val="32"/>
        </w:rPr>
        <w:t>：</w:t>
      </w:r>
      <w:bookmarkEnd w:id="12"/>
      <w:r>
        <w:rPr>
          <w:rFonts w:hint="eastAsia" w:ascii="仿宋_GB2312" w:hAnsi="仿宋_GB2312" w:eastAsia="仿宋_GB2312" w:cs="仿宋_GB2312"/>
          <w:b/>
          <w:bCs/>
          <w:sz w:val="32"/>
          <w:szCs w:val="32"/>
        </w:rPr>
        <w:t>合成生物学细胞工厂构建及研发</w:t>
      </w:r>
    </w:p>
    <w:p>
      <w:pPr>
        <w:adjustRightInd w:val="0"/>
        <w:snapToGrid w:val="0"/>
        <w:spacing w:line="6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研究内容：针对药品、化妆品、食品添加剂和材料单体等高附加值产品生产菌种效率较低的问题，利用用合成生物学“细胞工厂”技术进行细胞株或菌株的改造，开发标准化、模块化的底盘细胞，为绿色制造产业提供全新的、可持续的菌种解决方案。</w:t>
      </w:r>
    </w:p>
    <w:p>
      <w:pPr>
        <w:adjustRightInd w:val="0"/>
        <w:snapToGrid w:val="0"/>
        <w:spacing w:line="62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研究方向2</w:t>
      </w:r>
      <w:r>
        <w:rPr>
          <w:rFonts w:hint="eastAsia" w:ascii="仿宋_GB2312" w:hAnsi="仿宋_GB2312" w:eastAsia="仿宋_GB2312" w:cs="仿宋_GB2312"/>
          <w:b/>
          <w:sz w:val="32"/>
          <w:szCs w:val="32"/>
        </w:rPr>
        <w:t>（指南代码D2702）</w:t>
      </w:r>
      <w:r>
        <w:rPr>
          <w:rFonts w:hint="eastAsia" w:ascii="仿宋_GB2312" w:hAnsi="仿宋_GB2312" w:eastAsia="仿宋_GB2312" w:cs="仿宋_GB2312"/>
          <w:b/>
          <w:bCs/>
          <w:sz w:val="32"/>
          <w:szCs w:val="32"/>
        </w:rPr>
        <w:t>：生物转化技术研发</w:t>
      </w:r>
    </w:p>
    <w:p>
      <w:pPr>
        <w:adjustRightInd w:val="0"/>
        <w:snapToGrid w:val="0"/>
        <w:spacing w:line="620" w:lineRule="exact"/>
        <w:ind w:firstLine="640" w:firstLineChars="200"/>
        <w:rPr>
          <w:rFonts w:ascii="黑体" w:hAnsi="黑体" w:eastAsia="黑体" w:cs="楷体_GB2312"/>
          <w:bCs/>
          <w:color w:val="000000" w:themeColor="text1"/>
          <w:sz w:val="32"/>
          <w:szCs w:val="32"/>
          <w14:textFill>
            <w14:solidFill>
              <w14:schemeClr w14:val="tx1"/>
            </w14:solidFill>
          </w14:textFill>
        </w:rPr>
      </w:pPr>
      <w:r>
        <w:rPr>
          <w:rFonts w:hint="eastAsia" w:ascii="仿宋_GB2312" w:hAnsi="仿宋_GB2312" w:eastAsia="仿宋_GB2312" w:cs="仿宋_GB2312"/>
          <w:bCs/>
          <w:sz w:val="32"/>
          <w:szCs w:val="32"/>
        </w:rPr>
        <w:t>研究内容：针对酶蛋白催化效率、稳定性和耐受性不高的问题，通过定向进化技术对天然酶或蛋白质结构进行改造，增强其催化效率、稳定性、底物专一性和对工业环境的耐受性，使其可以高效催化生物制造业低附加值副产物和“三废”，合成高附加值产品。</w:t>
      </w:r>
    </w:p>
    <w:p>
      <w:pPr>
        <w:spacing w:line="660" w:lineRule="exact"/>
        <w:rPr>
          <w:rFonts w:ascii="黑体" w:hAnsi="黑体" w:eastAsia="黑体" w:cs="楷体_GB2312"/>
          <w:bCs/>
          <w:color w:val="000000" w:themeColor="text1"/>
          <w:sz w:val="32"/>
          <w:szCs w:val="32"/>
          <w14:textFill>
            <w14:solidFill>
              <w14:schemeClr w14:val="tx1"/>
            </w14:solidFill>
          </w14:textFill>
        </w:rPr>
      </w:pPr>
    </w:p>
    <w:p>
      <w:pPr>
        <w:spacing w:line="660" w:lineRule="exact"/>
        <w:rPr>
          <w:rFonts w:ascii="黑体" w:hAnsi="黑体" w:eastAsia="黑体" w:cs="楷体_GB2312"/>
          <w:bCs/>
          <w:color w:val="000000" w:themeColor="text1"/>
          <w:sz w:val="32"/>
          <w:szCs w:val="32"/>
          <w14:textFill>
            <w14:solidFill>
              <w14:schemeClr w14:val="tx1"/>
            </w14:solidFill>
          </w14:textFill>
        </w:rPr>
      </w:pPr>
    </w:p>
    <w:p>
      <w:pPr>
        <w:spacing w:line="660" w:lineRule="exact"/>
        <w:rPr>
          <w:rFonts w:ascii="黑体" w:hAnsi="黑体" w:eastAsia="黑体" w:cs="楷体_GB2312"/>
          <w:bCs/>
          <w:color w:val="000000" w:themeColor="text1"/>
          <w:sz w:val="32"/>
          <w:szCs w:val="32"/>
          <w14:textFill>
            <w14:solidFill>
              <w14:schemeClr w14:val="tx1"/>
            </w14:solidFill>
          </w14:textFill>
        </w:rPr>
      </w:pPr>
    </w:p>
    <w:p>
      <w:pPr>
        <w:spacing w:line="660" w:lineRule="exact"/>
        <w:rPr>
          <w:rFonts w:ascii="黑体" w:hAnsi="黑体" w:eastAsia="黑体" w:cs="楷体_GB2312"/>
          <w:bCs/>
          <w:color w:val="000000" w:themeColor="text1"/>
          <w:sz w:val="32"/>
          <w:szCs w:val="32"/>
          <w14:textFill>
            <w14:solidFill>
              <w14:schemeClr w14:val="tx1"/>
            </w14:solidFill>
          </w14:textFill>
        </w:rPr>
      </w:pPr>
    </w:p>
    <w:p>
      <w:pPr>
        <w:spacing w:line="660" w:lineRule="exact"/>
        <w:rPr>
          <w:rFonts w:ascii="黑体" w:hAnsi="黑体" w:eastAsia="黑体" w:cs="楷体_GB2312"/>
          <w:bCs/>
          <w:color w:val="000000" w:themeColor="text1"/>
          <w:sz w:val="32"/>
          <w:szCs w:val="32"/>
          <w14:textFill>
            <w14:solidFill>
              <w14:schemeClr w14:val="tx1"/>
            </w14:solidFill>
          </w14:textFill>
        </w:rPr>
      </w:pPr>
    </w:p>
    <w:p>
      <w:pPr>
        <w:spacing w:line="660" w:lineRule="exact"/>
        <w:rPr>
          <w:rFonts w:ascii="黑体" w:hAnsi="黑体" w:eastAsia="黑体" w:cs="楷体_GB2312"/>
          <w:bCs/>
          <w:color w:val="000000" w:themeColor="text1"/>
          <w:sz w:val="32"/>
          <w:szCs w:val="32"/>
          <w14:textFill>
            <w14:solidFill>
              <w14:schemeClr w14:val="tx1"/>
            </w14:solidFill>
          </w14:textFill>
        </w:rPr>
      </w:pPr>
    </w:p>
    <w:p>
      <w:pPr>
        <w:spacing w:line="660" w:lineRule="exact"/>
        <w:rPr>
          <w:rFonts w:ascii="黑体" w:hAnsi="黑体" w:eastAsia="黑体" w:cs="楷体_GB2312"/>
          <w:bCs/>
          <w:color w:val="000000" w:themeColor="text1"/>
          <w:sz w:val="32"/>
          <w:szCs w:val="32"/>
          <w14:textFill>
            <w14:solidFill>
              <w14:schemeClr w14:val="tx1"/>
            </w14:solidFill>
          </w14:textFill>
        </w:rPr>
      </w:pPr>
    </w:p>
    <w:p>
      <w:pPr>
        <w:spacing w:line="660" w:lineRule="exact"/>
        <w:rPr>
          <w:rFonts w:ascii="黑体" w:hAnsi="黑体" w:eastAsia="黑体" w:cs="楷体_GB2312"/>
          <w:bCs/>
          <w:color w:val="000000" w:themeColor="text1"/>
          <w:sz w:val="32"/>
          <w:szCs w:val="32"/>
          <w14:textFill>
            <w14:solidFill>
              <w14:schemeClr w14:val="tx1"/>
            </w14:solidFill>
          </w14:textFill>
        </w:rPr>
      </w:pPr>
    </w:p>
    <w:p>
      <w:pPr>
        <w:spacing w:line="660" w:lineRule="exact"/>
        <w:rPr>
          <w:rFonts w:ascii="黑体" w:hAnsi="黑体" w:eastAsia="黑体" w:cs="楷体_GB2312"/>
          <w:bCs/>
          <w:color w:val="000000" w:themeColor="text1"/>
          <w:sz w:val="32"/>
          <w:szCs w:val="32"/>
          <w14:textFill>
            <w14:solidFill>
              <w14:schemeClr w14:val="tx1"/>
            </w14:solidFill>
          </w14:textFill>
        </w:rPr>
      </w:pPr>
    </w:p>
    <w:p>
      <w:pPr>
        <w:spacing w:line="660" w:lineRule="exact"/>
        <w:rPr>
          <w:rFonts w:ascii="黑体" w:hAnsi="黑体" w:eastAsia="黑体" w:cs="楷体_GB2312"/>
          <w:bCs/>
          <w:color w:val="000000" w:themeColor="text1"/>
          <w:sz w:val="32"/>
          <w:szCs w:val="32"/>
          <w14:textFill>
            <w14:solidFill>
              <w14:schemeClr w14:val="tx1"/>
            </w14:solidFill>
          </w14:textFill>
        </w:rPr>
      </w:pPr>
    </w:p>
    <w:p>
      <w:pPr>
        <w:spacing w:line="660" w:lineRule="exact"/>
        <w:rPr>
          <w:rFonts w:ascii="黑体" w:hAnsi="黑体" w:eastAsia="黑体" w:cs="楷体_GB2312"/>
          <w:bCs/>
          <w:color w:val="000000" w:themeColor="text1"/>
          <w:sz w:val="32"/>
          <w:szCs w:val="32"/>
          <w14:textFill>
            <w14:solidFill>
              <w14:schemeClr w14:val="tx1"/>
            </w14:solidFill>
          </w14:textFill>
        </w:rPr>
        <w:sectPr>
          <w:headerReference r:id="rId6" w:type="first"/>
          <w:headerReference r:id="rId5" w:type="default"/>
          <w:footerReference r:id="rId7" w:type="default"/>
          <w:pgSz w:w="11906" w:h="16838"/>
          <w:pgMar w:top="1440" w:right="1287" w:bottom="1440" w:left="1191" w:header="851" w:footer="992" w:gutter="0"/>
          <w:pgNumType w:start="1"/>
          <w:cols w:space="720" w:num="1"/>
          <w:docGrid w:type="lines" w:linePitch="312" w:charSpace="0"/>
        </w:sectPr>
      </w:pPr>
    </w:p>
    <w:p>
      <w:pPr>
        <w:spacing w:line="660" w:lineRule="exact"/>
        <w:rPr>
          <w:rFonts w:ascii="黑体" w:hAnsi="黑体" w:eastAsia="黑体" w:cs="楷体_GB2312"/>
          <w:bCs/>
          <w:color w:val="000000" w:themeColor="text1"/>
          <w:sz w:val="32"/>
          <w:szCs w:val="32"/>
          <w14:textFill>
            <w14:solidFill>
              <w14:schemeClr w14:val="tx1"/>
            </w14:solidFill>
          </w14:textFill>
        </w:rPr>
      </w:pPr>
      <w:r>
        <w:rPr>
          <w:rFonts w:hint="eastAsia" w:ascii="黑体" w:hAnsi="黑体" w:eastAsia="黑体" w:cs="楷体_GB2312"/>
          <w:bCs/>
          <w:color w:val="000000" w:themeColor="text1"/>
          <w:sz w:val="32"/>
          <w:szCs w:val="32"/>
          <w14:textFill>
            <w14:solidFill>
              <w14:schemeClr w14:val="tx1"/>
            </w14:solidFill>
          </w14:textFill>
        </w:rPr>
        <w:t>附件2</w:t>
      </w:r>
    </w:p>
    <w:p>
      <w:pPr>
        <w:jc w:val="center"/>
        <w:rPr>
          <w:rFonts w:ascii="黑体" w:hAnsi="黑体" w:eastAsia="黑体"/>
          <w:color w:val="000000" w:themeColor="text1"/>
          <w:sz w:val="32"/>
          <w:szCs w:val="32"/>
          <w14:textFill>
            <w14:solidFill>
              <w14:schemeClr w14:val="tx1"/>
            </w14:solidFill>
          </w14:textFill>
        </w:rPr>
      </w:pPr>
    </w:p>
    <w:p>
      <w:pPr>
        <w:rPr>
          <w:b/>
          <w:color w:val="000000" w:themeColor="text1"/>
          <w14:textFill>
            <w14:solidFill>
              <w14:schemeClr w14:val="tx1"/>
            </w14:solidFill>
          </w14:textFill>
        </w:rPr>
      </w:pPr>
    </w:p>
    <w:p>
      <w:pPr>
        <w:rPr>
          <w:b/>
          <w:color w:val="000000" w:themeColor="text1"/>
          <w14:textFill>
            <w14:solidFill>
              <w14:schemeClr w14:val="tx1"/>
            </w14:solidFill>
          </w14:textFill>
        </w:rPr>
      </w:pPr>
    </w:p>
    <w:p>
      <w:pPr>
        <w:jc w:val="center"/>
        <w:rPr>
          <w:rFonts w:ascii="CESI小标宋-GB18030" w:hAnsi="CESI小标宋-GB18030" w:eastAsia="CESI小标宋-GB18030"/>
          <w:b/>
          <w:color w:val="000000" w:themeColor="text1"/>
          <w:sz w:val="44"/>
          <w14:textFill>
            <w14:solidFill>
              <w14:schemeClr w14:val="tx1"/>
            </w14:solidFill>
          </w14:textFill>
        </w:rPr>
      </w:pPr>
      <w:r>
        <w:rPr>
          <w:rFonts w:hint="eastAsia" w:ascii="CESI小标宋-GB18030" w:hAnsi="CESI小标宋-GB18030" w:eastAsia="CESI小标宋-GB18030"/>
          <w:b/>
          <w:color w:val="000000" w:themeColor="text1"/>
          <w:sz w:val="44"/>
          <w14:textFill>
            <w14:solidFill>
              <w14:schemeClr w14:val="tx1"/>
            </w14:solidFill>
          </w14:textFill>
        </w:rPr>
        <w:t>内蒙古自治区科技计划</w:t>
      </w:r>
    </w:p>
    <w:p>
      <w:pPr>
        <w:jc w:val="center"/>
        <w:rPr>
          <w:rFonts w:ascii="CESI小标宋-GB18030" w:hAnsi="CESI小标宋-GB18030" w:eastAsia="CESI小标宋-GB18030"/>
          <w:b/>
          <w:color w:val="000000" w:themeColor="text1"/>
          <w:sz w:val="44"/>
          <w14:textFill>
            <w14:solidFill>
              <w14:schemeClr w14:val="tx1"/>
            </w14:solidFill>
          </w14:textFill>
        </w:rPr>
      </w:pPr>
      <w:r>
        <w:rPr>
          <w:rFonts w:hint="eastAsia" w:ascii="CESI小标宋-GB18030" w:hAnsi="CESI小标宋-GB18030" w:eastAsia="CESI小标宋-GB18030"/>
          <w:b/>
          <w:color w:val="000000" w:themeColor="text1"/>
          <w:sz w:val="44"/>
          <w14:textFill>
            <w14:solidFill>
              <w14:schemeClr w14:val="tx1"/>
            </w14:solidFill>
          </w14:textFill>
        </w:rPr>
        <w:t>项目申报书</w:t>
      </w: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sz w:val="32"/>
          <w14:textFill>
            <w14:solidFill>
              <w14:schemeClr w14:val="tx1"/>
            </w14:solidFill>
          </w14:textFill>
        </w:rPr>
      </w:pP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项目名称：</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申报单位：</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合作单位：</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归口管理部门：</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申报日期：</w:t>
      </w:r>
    </w:p>
    <w:p>
      <w:pPr>
        <w:spacing w:line="360" w:lineRule="auto"/>
        <w:ind w:firstLine="1280" w:firstLineChars="400"/>
        <w:rPr>
          <w:color w:val="000000" w:themeColor="text1"/>
          <w:sz w:val="32"/>
          <w14:textFill>
            <w14:solidFill>
              <w14:schemeClr w14:val="tx1"/>
            </w14:solidFill>
          </w14:textFill>
        </w:rPr>
      </w:pPr>
    </w:p>
    <w:p>
      <w:pPr>
        <w:spacing w:line="360" w:lineRule="auto"/>
        <w:rPr>
          <w:rFonts w:ascii="黑体" w:hAnsi="黑体" w:eastAsia="黑体"/>
          <w:color w:val="000000" w:themeColor="text1"/>
          <w:sz w:val="32"/>
          <w14:textFill>
            <w14:solidFill>
              <w14:schemeClr w14:val="tx1"/>
            </w14:solidFill>
          </w14:textFill>
        </w:rPr>
      </w:pPr>
    </w:p>
    <w:p>
      <w:pPr>
        <w:jc w:val="center"/>
        <w:rPr>
          <w:rFonts w:ascii="黑体" w:hAnsi="黑体" w:eastAsia="黑体"/>
          <w:b/>
          <w:color w:val="000000" w:themeColor="text1"/>
          <w:spacing w:val="40"/>
          <w:sz w:val="32"/>
          <w14:textFill>
            <w14:solidFill>
              <w14:schemeClr w14:val="tx1"/>
            </w14:solidFill>
          </w14:textFill>
        </w:rPr>
      </w:pPr>
      <w:r>
        <w:rPr>
          <w:rFonts w:hint="eastAsia" w:ascii="黑体" w:hAnsi="黑体" w:eastAsia="黑体"/>
          <w:b/>
          <w:color w:val="000000" w:themeColor="text1"/>
          <w:spacing w:val="40"/>
          <w:sz w:val="32"/>
          <w14:textFill>
            <w14:solidFill>
              <w14:schemeClr w14:val="tx1"/>
            </w14:solidFill>
          </w14:textFill>
        </w:rPr>
        <w:t>内蒙古自治区科学技术厅制</w:t>
      </w:r>
    </w:p>
    <w:p>
      <w:pPr>
        <w:jc w:val="center"/>
        <w:rPr>
          <w:rFonts w:ascii="黑体" w:hAnsi="黑体" w:eastAsia="黑体"/>
          <w:b/>
          <w:color w:val="000000" w:themeColor="text1"/>
          <w:spacing w:val="40"/>
          <w:sz w:val="32"/>
          <w14:textFill>
            <w14:solidFill>
              <w14:schemeClr w14:val="tx1"/>
            </w14:solidFill>
          </w14:textFill>
        </w:rPr>
      </w:pPr>
      <w:r>
        <w:rPr>
          <w:rFonts w:hint="eastAsia" w:ascii="黑体" w:hAnsi="黑体" w:eastAsia="黑体"/>
          <w:b/>
          <w:color w:val="000000" w:themeColor="text1"/>
          <w:spacing w:val="40"/>
          <w:sz w:val="32"/>
          <w14:textFill>
            <w14:solidFill>
              <w14:schemeClr w14:val="tx1"/>
            </w14:solidFill>
          </w14:textFill>
        </w:rPr>
        <w:t>二</w:t>
      </w:r>
      <w:r>
        <w:rPr>
          <w:rFonts w:ascii="黑体" w:hAnsi="黑体" w:eastAsia="黑体"/>
          <w:b/>
          <w:color w:val="000000" w:themeColor="text1"/>
          <w:spacing w:val="40"/>
          <w:sz w:val="32"/>
          <w14:textFill>
            <w14:solidFill>
              <w14:schemeClr w14:val="tx1"/>
            </w14:solidFill>
          </w14:textFill>
        </w:rPr>
        <w:t>O</w:t>
      </w:r>
      <w:r>
        <w:rPr>
          <w:rFonts w:hint="eastAsia" w:ascii="黑体" w:hAnsi="黑体" w:eastAsia="黑体"/>
          <w:b/>
          <w:color w:val="000000" w:themeColor="text1"/>
          <w:spacing w:val="40"/>
          <w:sz w:val="32"/>
          <w14:textFill>
            <w14:solidFill>
              <w14:schemeClr w14:val="tx1"/>
            </w14:solidFill>
          </w14:textFill>
        </w:rPr>
        <w:t>二五年制</w:t>
      </w:r>
    </w:p>
    <w:p>
      <w:pPr>
        <w:spacing w:line="360" w:lineRule="auto"/>
        <w:jc w:val="center"/>
        <w:rPr>
          <w:rFonts w:ascii="方正小标宋简体" w:hAnsi="方正小标宋简体" w:eastAsia="方正小标宋简体" w:cs="方正小标宋简体"/>
          <w:bCs/>
          <w:color w:val="000000" w:themeColor="text1"/>
          <w:sz w:val="44"/>
          <w14:textFill>
            <w14:solidFill>
              <w14:schemeClr w14:val="tx1"/>
            </w14:solidFill>
          </w14:textFill>
        </w:rPr>
      </w:pPr>
    </w:p>
    <w:p>
      <w:pPr>
        <w:spacing w:line="360" w:lineRule="auto"/>
        <w:jc w:val="center"/>
        <w:rPr>
          <w:rFonts w:ascii="方正小标宋简体" w:hAnsi="方正小标宋简体" w:eastAsia="方正小标宋简体" w:cs="方正小标宋简体"/>
          <w:bCs/>
          <w:color w:val="000000" w:themeColor="text1"/>
          <w:sz w:val="44"/>
          <w14:textFill>
            <w14:solidFill>
              <w14:schemeClr w14:val="tx1"/>
            </w14:solidFill>
          </w14:textFill>
        </w:rPr>
        <w:sectPr>
          <w:footerReference r:id="rId8" w:type="default"/>
          <w:pgSz w:w="11906" w:h="16838"/>
          <w:pgMar w:top="1440" w:right="1287" w:bottom="1440" w:left="1191" w:header="851" w:footer="992" w:gutter="0"/>
          <w:pgNumType w:start="1"/>
          <w:cols w:space="720" w:num="1"/>
          <w:docGrid w:type="lines" w:linePitch="312" w:charSpace="0"/>
        </w:sectPr>
      </w:pPr>
    </w:p>
    <w:p>
      <w:pPr>
        <w:spacing w:line="360" w:lineRule="auto"/>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项目基本信息表</w:t>
      </w:r>
    </w:p>
    <w:tbl>
      <w:tblPr>
        <w:tblStyle w:val="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项目名称</w:t>
            </w:r>
          </w:p>
        </w:tc>
        <w:tc>
          <w:tcPr>
            <w:tcW w:w="8069" w:type="dxa"/>
            <w:gridSpan w:val="6"/>
            <w:vAlign w:val="center"/>
          </w:tcPr>
          <w:p>
            <w:pPr>
              <w:snapToGrid w:val="0"/>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项目申报单位</w:t>
            </w:r>
          </w:p>
        </w:tc>
        <w:tc>
          <w:tcPr>
            <w:tcW w:w="1417"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单位名称</w:t>
            </w:r>
          </w:p>
        </w:tc>
        <w:tc>
          <w:tcPr>
            <w:tcW w:w="6652" w:type="dxa"/>
            <w:gridSpan w:val="5"/>
            <w:vAlign w:val="center"/>
          </w:tcPr>
          <w:p>
            <w:pPr>
              <w:snapToGrid w:val="0"/>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ascii="宋体" w:hAnsi="宋体" w:eastAsia="宋体"/>
                <w:color w:val="000000" w:themeColor="text1"/>
                <w14:textFill>
                  <w14:solidFill>
                    <w14:schemeClr w14:val="tx1"/>
                  </w14:solidFill>
                </w14:textFill>
              </w:rPr>
            </w:pPr>
          </w:p>
        </w:tc>
        <w:tc>
          <w:tcPr>
            <w:tcW w:w="1417"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通讯地址</w:t>
            </w:r>
          </w:p>
        </w:tc>
        <w:tc>
          <w:tcPr>
            <w:tcW w:w="3924" w:type="dxa"/>
            <w:gridSpan w:val="3"/>
            <w:vAlign w:val="center"/>
          </w:tcPr>
          <w:p>
            <w:pPr>
              <w:snapToGrid w:val="0"/>
              <w:rPr>
                <w:rFonts w:ascii="宋体" w:hAnsi="宋体" w:eastAsia="宋体"/>
                <w:color w:val="000000" w:themeColor="text1"/>
                <w14:textFill>
                  <w14:solidFill>
                    <w14:schemeClr w14:val="tx1"/>
                  </w14:solidFill>
                </w14:textFill>
              </w:rPr>
            </w:pPr>
          </w:p>
        </w:tc>
        <w:tc>
          <w:tcPr>
            <w:tcW w:w="1364"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邮编</w:t>
            </w:r>
          </w:p>
        </w:tc>
        <w:tc>
          <w:tcPr>
            <w:tcW w:w="1364" w:type="dxa"/>
            <w:vAlign w:val="center"/>
          </w:tcPr>
          <w:p>
            <w:pPr>
              <w:snapToGrid w:val="0"/>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ascii="宋体" w:hAnsi="宋体" w:eastAsia="宋体"/>
                <w:color w:val="000000" w:themeColor="text1"/>
                <w14:textFill>
                  <w14:solidFill>
                    <w14:schemeClr w14:val="tx1"/>
                  </w14:solidFill>
                </w14:textFill>
              </w:rPr>
            </w:pPr>
          </w:p>
        </w:tc>
        <w:tc>
          <w:tcPr>
            <w:tcW w:w="1417" w:type="dxa"/>
          </w:tcPr>
          <w:p>
            <w:pPr>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统一社会信用代码</w:t>
            </w:r>
          </w:p>
        </w:tc>
        <w:tc>
          <w:tcPr>
            <w:tcW w:w="6652" w:type="dxa"/>
            <w:gridSpan w:val="5"/>
            <w:vAlign w:val="center"/>
          </w:tcPr>
          <w:p>
            <w:pPr>
              <w:snapToGrid w:val="0"/>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ascii="宋体" w:hAnsi="宋体" w:eastAsia="宋体"/>
                <w:color w:val="000000" w:themeColor="text1"/>
                <w14:textFill>
                  <w14:solidFill>
                    <w14:schemeClr w14:val="tx1"/>
                  </w14:solidFill>
                </w14:textFill>
              </w:rPr>
            </w:pPr>
          </w:p>
        </w:tc>
        <w:tc>
          <w:tcPr>
            <w:tcW w:w="1417"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单位性质</w:t>
            </w:r>
          </w:p>
        </w:tc>
        <w:tc>
          <w:tcPr>
            <w:tcW w:w="6652" w:type="dxa"/>
            <w:gridSpan w:val="5"/>
          </w:tcPr>
          <w:p>
            <w:pPr>
              <w:snapToGrid w:val="0"/>
              <w:spacing w:before="20"/>
              <w:ind w:right="2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□企业□科研院所□大专院校□事业单位□其他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项目合作单位</w:t>
            </w:r>
          </w:p>
        </w:tc>
        <w:tc>
          <w:tcPr>
            <w:tcW w:w="8069" w:type="dxa"/>
            <w:gridSpan w:val="6"/>
            <w:vAlign w:val="center"/>
          </w:tcPr>
          <w:p>
            <w:pPr>
              <w:snapToGrid w:val="0"/>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ascii="宋体" w:hAnsi="宋体" w:eastAsia="宋体"/>
                <w:color w:val="000000" w:themeColor="text1"/>
                <w14:textFill>
                  <w14:solidFill>
                    <w14:schemeClr w14:val="tx1"/>
                  </w14:solidFill>
                </w14:textFill>
              </w:rPr>
            </w:pPr>
          </w:p>
        </w:tc>
        <w:tc>
          <w:tcPr>
            <w:tcW w:w="8069" w:type="dxa"/>
            <w:gridSpan w:val="6"/>
            <w:vAlign w:val="center"/>
          </w:tcPr>
          <w:p>
            <w:pPr>
              <w:snapToGrid w:val="0"/>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ascii="宋体" w:hAnsi="宋体" w:eastAsia="宋体"/>
                <w:color w:val="000000" w:themeColor="text1"/>
                <w14:textFill>
                  <w14:solidFill>
                    <w14:schemeClr w14:val="tx1"/>
                  </w14:solidFill>
                </w14:textFill>
              </w:rPr>
            </w:pPr>
          </w:p>
        </w:tc>
        <w:tc>
          <w:tcPr>
            <w:tcW w:w="8069" w:type="dxa"/>
            <w:gridSpan w:val="6"/>
            <w:vAlign w:val="center"/>
          </w:tcPr>
          <w:p>
            <w:pPr>
              <w:snapToGrid w:val="0"/>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项目负责人</w:t>
            </w:r>
          </w:p>
        </w:tc>
        <w:tc>
          <w:tcPr>
            <w:tcW w:w="1417"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姓名</w:t>
            </w:r>
          </w:p>
        </w:tc>
        <w:tc>
          <w:tcPr>
            <w:tcW w:w="1196" w:type="dxa"/>
            <w:vAlign w:val="center"/>
          </w:tcPr>
          <w:p>
            <w:pPr>
              <w:snapToGrid w:val="0"/>
              <w:jc w:val="center"/>
              <w:rPr>
                <w:rFonts w:ascii="宋体" w:hAnsi="宋体" w:eastAsia="宋体"/>
                <w:color w:val="000000" w:themeColor="text1"/>
                <w14:textFill>
                  <w14:solidFill>
                    <w14:schemeClr w14:val="tx1"/>
                  </w14:solidFill>
                </w14:textFill>
              </w:rPr>
            </w:pPr>
          </w:p>
        </w:tc>
        <w:tc>
          <w:tcPr>
            <w:tcW w:w="1364"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性别</w:t>
            </w:r>
          </w:p>
        </w:tc>
        <w:tc>
          <w:tcPr>
            <w:tcW w:w="1364"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□男□女</w:t>
            </w:r>
          </w:p>
        </w:tc>
        <w:tc>
          <w:tcPr>
            <w:tcW w:w="1364"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身份证号</w:t>
            </w:r>
          </w:p>
        </w:tc>
        <w:tc>
          <w:tcPr>
            <w:tcW w:w="1364" w:type="dxa"/>
            <w:vAlign w:val="center"/>
          </w:tcPr>
          <w:p>
            <w:pPr>
              <w:snapToGrid w:val="0"/>
              <w:ind w:firstLine="210" w:firstLineChars="100"/>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spacing w:before="20"/>
              <w:ind w:right="26"/>
              <w:jc w:val="center"/>
              <w:rPr>
                <w:rFonts w:ascii="宋体" w:hAnsi="宋体" w:eastAsia="宋体"/>
                <w:color w:val="000000" w:themeColor="text1"/>
                <w14:textFill>
                  <w14:solidFill>
                    <w14:schemeClr w14:val="tx1"/>
                  </w14:solidFill>
                </w14:textFill>
              </w:rPr>
            </w:pPr>
          </w:p>
        </w:tc>
        <w:tc>
          <w:tcPr>
            <w:tcW w:w="1417"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学历</w:t>
            </w:r>
          </w:p>
        </w:tc>
        <w:tc>
          <w:tcPr>
            <w:tcW w:w="1196" w:type="dxa"/>
            <w:vAlign w:val="center"/>
          </w:tcPr>
          <w:p>
            <w:pPr>
              <w:snapToGrid w:val="0"/>
              <w:jc w:val="center"/>
              <w:rPr>
                <w:rFonts w:ascii="宋体" w:hAnsi="宋体" w:eastAsia="宋体"/>
                <w:color w:val="000000" w:themeColor="text1"/>
                <w14:textFill>
                  <w14:solidFill>
                    <w14:schemeClr w14:val="tx1"/>
                  </w14:solidFill>
                </w14:textFill>
              </w:rPr>
            </w:pPr>
          </w:p>
        </w:tc>
        <w:tc>
          <w:tcPr>
            <w:tcW w:w="1364"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职称</w:t>
            </w:r>
          </w:p>
        </w:tc>
        <w:tc>
          <w:tcPr>
            <w:tcW w:w="1364" w:type="dxa"/>
            <w:vAlign w:val="center"/>
          </w:tcPr>
          <w:p>
            <w:pPr>
              <w:snapToGrid w:val="0"/>
              <w:ind w:firstLine="210" w:firstLineChars="100"/>
              <w:jc w:val="center"/>
              <w:rPr>
                <w:rFonts w:ascii="宋体" w:hAnsi="宋体" w:eastAsia="宋体"/>
                <w:color w:val="000000" w:themeColor="text1"/>
                <w14:textFill>
                  <w14:solidFill>
                    <w14:schemeClr w14:val="tx1"/>
                  </w14:solidFill>
                </w14:textFill>
              </w:rPr>
            </w:pPr>
          </w:p>
        </w:tc>
        <w:tc>
          <w:tcPr>
            <w:tcW w:w="1364"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工作单位</w:t>
            </w:r>
          </w:p>
        </w:tc>
        <w:tc>
          <w:tcPr>
            <w:tcW w:w="1364" w:type="dxa"/>
            <w:vAlign w:val="center"/>
          </w:tcPr>
          <w:p>
            <w:pPr>
              <w:snapToGrid w:val="0"/>
              <w:ind w:firstLine="210" w:firstLineChars="100"/>
              <w:jc w:val="cente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pPr>
              <w:snapToGrid w:val="0"/>
              <w:spacing w:before="20"/>
              <w:ind w:right="26"/>
              <w:jc w:val="center"/>
              <w:rPr>
                <w:rFonts w:ascii="宋体" w:hAnsi="宋体" w:eastAsia="宋体"/>
                <w:color w:val="000000" w:themeColor="text1"/>
                <w14:textFill>
                  <w14:solidFill>
                    <w14:schemeClr w14:val="tx1"/>
                  </w14:solidFill>
                </w14:textFill>
              </w:rPr>
            </w:pPr>
          </w:p>
        </w:tc>
        <w:tc>
          <w:tcPr>
            <w:tcW w:w="1417"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固定电话</w:t>
            </w:r>
          </w:p>
        </w:tc>
        <w:tc>
          <w:tcPr>
            <w:tcW w:w="1196" w:type="dxa"/>
            <w:vAlign w:val="center"/>
          </w:tcPr>
          <w:p>
            <w:pPr>
              <w:snapToGrid w:val="0"/>
              <w:jc w:val="center"/>
              <w:rPr>
                <w:rFonts w:ascii="宋体" w:hAnsi="宋体" w:eastAsia="宋体"/>
                <w:color w:val="000000" w:themeColor="text1"/>
                <w14:textFill>
                  <w14:solidFill>
                    <w14:schemeClr w14:val="tx1"/>
                  </w14:solidFill>
                </w14:textFill>
              </w:rPr>
            </w:pPr>
          </w:p>
        </w:tc>
        <w:tc>
          <w:tcPr>
            <w:tcW w:w="1364"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手机号码</w:t>
            </w:r>
          </w:p>
        </w:tc>
        <w:tc>
          <w:tcPr>
            <w:tcW w:w="1364" w:type="dxa"/>
            <w:vAlign w:val="center"/>
          </w:tcPr>
          <w:p>
            <w:pPr>
              <w:snapToGrid w:val="0"/>
              <w:ind w:firstLine="210" w:firstLineChars="100"/>
              <w:jc w:val="center"/>
              <w:rPr>
                <w:rFonts w:ascii="宋体" w:hAnsi="宋体" w:eastAsia="宋体"/>
                <w:color w:val="000000" w:themeColor="text1"/>
                <w14:textFill>
                  <w14:solidFill>
                    <w14:schemeClr w14:val="tx1"/>
                  </w14:solidFill>
                </w14:textFill>
              </w:rPr>
            </w:pPr>
          </w:p>
        </w:tc>
        <w:tc>
          <w:tcPr>
            <w:tcW w:w="1364"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电子邮箱</w:t>
            </w:r>
          </w:p>
        </w:tc>
        <w:tc>
          <w:tcPr>
            <w:tcW w:w="1364" w:type="dxa"/>
            <w:vAlign w:val="center"/>
          </w:tcPr>
          <w:p>
            <w:pPr>
              <w:snapToGrid w:val="0"/>
              <w:ind w:firstLine="210" w:firstLineChars="100"/>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项目联系人</w:t>
            </w:r>
          </w:p>
        </w:tc>
        <w:tc>
          <w:tcPr>
            <w:tcW w:w="141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姓名</w:t>
            </w:r>
          </w:p>
        </w:tc>
        <w:tc>
          <w:tcPr>
            <w:tcW w:w="1196"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p>
        </w:tc>
        <w:tc>
          <w:tcPr>
            <w:tcW w:w="1364"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工作单位</w:t>
            </w:r>
          </w:p>
        </w:tc>
        <w:tc>
          <w:tcPr>
            <w:tcW w:w="4092" w:type="dxa"/>
            <w:gridSpan w:val="3"/>
            <w:vAlign w:val="center"/>
          </w:tcPr>
          <w:p>
            <w:pPr>
              <w:snapToGrid w:val="0"/>
              <w:spacing w:before="20"/>
              <w:ind w:right="26"/>
              <w:jc w:val="cente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pPr>
              <w:snapToGrid w:val="0"/>
              <w:spacing w:before="20"/>
              <w:ind w:right="26"/>
              <w:jc w:val="center"/>
              <w:rPr>
                <w:rFonts w:ascii="宋体" w:hAnsi="宋体" w:eastAsia="宋体"/>
                <w:color w:val="000000" w:themeColor="text1"/>
                <w14:textFill>
                  <w14:solidFill>
                    <w14:schemeClr w14:val="tx1"/>
                  </w14:solidFill>
                </w14:textFill>
              </w:rPr>
            </w:pPr>
          </w:p>
        </w:tc>
        <w:tc>
          <w:tcPr>
            <w:tcW w:w="1417" w:type="dxa"/>
            <w:vAlign w:val="center"/>
          </w:tcPr>
          <w:p>
            <w:pPr>
              <w:snapToGrid w:val="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手机号码</w:t>
            </w:r>
          </w:p>
        </w:tc>
        <w:tc>
          <w:tcPr>
            <w:tcW w:w="1196" w:type="dxa"/>
            <w:vAlign w:val="center"/>
          </w:tcPr>
          <w:p>
            <w:pPr>
              <w:snapToGrid w:val="0"/>
              <w:spacing w:before="20"/>
              <w:ind w:right="26"/>
              <w:rPr>
                <w:rFonts w:ascii="宋体" w:hAnsi="宋体" w:eastAsia="宋体"/>
                <w:color w:val="000000" w:themeColor="text1"/>
                <w14:textFill>
                  <w14:solidFill>
                    <w14:schemeClr w14:val="tx1"/>
                  </w14:solidFill>
                </w14:textFill>
              </w:rPr>
            </w:pPr>
          </w:p>
        </w:tc>
        <w:tc>
          <w:tcPr>
            <w:tcW w:w="1364"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电子邮箱</w:t>
            </w:r>
          </w:p>
        </w:tc>
        <w:tc>
          <w:tcPr>
            <w:tcW w:w="4092" w:type="dxa"/>
            <w:gridSpan w:val="3"/>
            <w:vAlign w:val="center"/>
          </w:tcPr>
          <w:p>
            <w:pPr>
              <w:snapToGrid w:val="0"/>
              <w:spacing w:before="20"/>
              <w:ind w:right="26"/>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pPr>
              <w:snapToGrid w:val="0"/>
              <w:spacing w:before="20"/>
              <w:ind w:right="26"/>
              <w:jc w:val="center"/>
              <w:rPr>
                <w:rFonts w:ascii="宋体" w:hAnsi="宋体" w:eastAsia="宋体"/>
                <w:color w:val="000000" w:themeColor="text1"/>
                <w:spacing w:val="16"/>
                <w14:textFill>
                  <w14:solidFill>
                    <w14:schemeClr w14:val="tx1"/>
                  </w14:solidFill>
                </w14:textFill>
              </w:rPr>
            </w:pPr>
            <w:r>
              <w:rPr>
                <w:rFonts w:hint="eastAsia" w:ascii="宋体" w:hAnsi="宋体" w:eastAsia="宋体"/>
                <w:color w:val="000000" w:themeColor="text1"/>
                <w14:textFill>
                  <w14:solidFill>
                    <w14:schemeClr w14:val="tx1"/>
                  </w14:solidFill>
                </w14:textFill>
              </w:rPr>
              <w:t>项目执行期</w:t>
            </w:r>
          </w:p>
        </w:tc>
        <w:tc>
          <w:tcPr>
            <w:tcW w:w="3977" w:type="dxa"/>
            <w:gridSpan w:val="3"/>
            <w:vAlign w:val="center"/>
          </w:tcPr>
          <w:p>
            <w:pPr>
              <w:snapToGrid w:val="0"/>
              <w:spacing w:before="20"/>
              <w:ind w:right="26" w:firstLine="42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年  月  至  年  月</w:t>
            </w:r>
          </w:p>
        </w:tc>
        <w:tc>
          <w:tcPr>
            <w:tcW w:w="1364" w:type="dxa"/>
            <w:vAlign w:val="center"/>
          </w:tcPr>
          <w:p>
            <w:pPr>
              <w:snapToGrid w:val="0"/>
              <w:spacing w:before="20"/>
              <w:ind w:right="2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项目组人数</w:t>
            </w:r>
          </w:p>
        </w:tc>
        <w:tc>
          <w:tcPr>
            <w:tcW w:w="2728" w:type="dxa"/>
            <w:gridSpan w:val="2"/>
            <w:vAlign w:val="center"/>
          </w:tcPr>
          <w:p>
            <w:pPr>
              <w:snapToGrid w:val="0"/>
              <w:spacing w:before="20"/>
              <w:ind w:right="26"/>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所属技术领域</w:t>
            </w:r>
          </w:p>
        </w:tc>
        <w:tc>
          <w:tcPr>
            <w:tcW w:w="8069" w:type="dxa"/>
            <w:gridSpan w:val="6"/>
          </w:tcPr>
          <w:p>
            <w:pPr>
              <w:spacing w:line="400" w:lineRule="exact"/>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□新材料□新能源□现代装备制造□绿色冶金□现代化工□</w:t>
            </w:r>
            <w:bookmarkStart w:id="13" w:name="OLE_LINK23"/>
            <w:bookmarkStart w:id="14" w:name="OLE_LINK22"/>
            <w:r>
              <w:rPr>
                <w:rFonts w:hint="eastAsia" w:ascii="宋体" w:hAnsi="宋体" w:eastAsia="宋体" w:cs="宋体"/>
                <w:color w:val="000000" w:themeColor="text1"/>
                <w:kern w:val="0"/>
                <w14:textFill>
                  <w14:solidFill>
                    <w14:schemeClr w14:val="tx1"/>
                  </w14:solidFill>
                </w14:textFill>
              </w:rPr>
              <w:t>数字经济</w:t>
            </w:r>
            <w:bookmarkEnd w:id="13"/>
            <w:bookmarkEnd w:id="14"/>
            <w:r>
              <w:rPr>
                <w:rFonts w:hint="eastAsia" w:ascii="宋体" w:hAnsi="宋体" w:eastAsia="宋体"/>
                <w:color w:val="000000" w:themeColor="text1"/>
                <w14:textFill>
                  <w14:solidFill>
                    <w14:schemeClr w14:val="tx1"/>
                  </w14:solidFill>
                </w14:textFill>
              </w:rPr>
              <w:t>□</w:t>
            </w:r>
            <w:r>
              <w:rPr>
                <w:rFonts w:hint="eastAsia" w:ascii="宋体" w:hAnsi="宋体" w:eastAsia="宋体" w:cs="宋体"/>
                <w:color w:val="000000" w:themeColor="text1"/>
                <w:kern w:val="0"/>
                <w14:textFill>
                  <w14:solidFill>
                    <w14:schemeClr w14:val="tx1"/>
                  </w14:solidFill>
                </w14:textFill>
              </w:rPr>
              <w:t>军民融合</w:t>
            </w:r>
            <w:r>
              <w:rPr>
                <w:rFonts w:hint="eastAsia" w:ascii="宋体" w:hAnsi="宋体" w:eastAsia="宋体"/>
                <w:color w:val="000000" w:themeColor="text1"/>
                <w14:textFill>
                  <w14:solidFill>
                    <w14:schemeClr w14:val="tx1"/>
                  </w14:solidFill>
                </w14:textFill>
              </w:rPr>
              <w:t>□科技文化融合□种业创新工程□绿色种养□智慧农牧业□农畜产品生产加工□重点区域生态保护与修复□应对气候变化□资源节约集约利用□污染防治□医药产业□绿色生物制造</w:t>
            </w:r>
          </w:p>
          <w:p>
            <w:pPr>
              <w:spacing w:line="400" w:lineRule="exact"/>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□重大疾病、常见多发病□中医（蒙医）□公共卫生□重大自然灾害□安全科学与工程□食品药品安全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国标学科</w:t>
            </w:r>
          </w:p>
        </w:tc>
        <w:tc>
          <w:tcPr>
            <w:tcW w:w="8069" w:type="dxa"/>
            <w:gridSpan w:val="6"/>
          </w:tcPr>
          <w:p>
            <w:pPr>
              <w:snapToGrid w:val="0"/>
              <w:spacing w:before="20"/>
              <w:ind w:right="2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【按照中华人民共和国国家标准学科分类与代码（</w:t>
            </w:r>
            <w:r>
              <w:rPr>
                <w:rFonts w:ascii="宋体" w:hAnsi="宋体" w:eastAsia="宋体"/>
                <w:color w:val="000000" w:themeColor="text1"/>
                <w14:textFill>
                  <w14:solidFill>
                    <w14:schemeClr w14:val="tx1"/>
                  </w14:solidFill>
                </w14:textFill>
              </w:rPr>
              <w:t>GB/T13745-2009</w:t>
            </w:r>
            <w:r>
              <w:rPr>
                <w:rFonts w:hint="eastAsia" w:ascii="宋体" w:hAnsi="宋体" w:eastAsia="宋体"/>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行业类别</w:t>
            </w:r>
          </w:p>
        </w:tc>
        <w:tc>
          <w:tcPr>
            <w:tcW w:w="8069" w:type="dxa"/>
            <w:gridSpan w:val="6"/>
          </w:tcPr>
          <w:p>
            <w:pPr>
              <w:snapToGrid w:val="0"/>
              <w:spacing w:before="20"/>
              <w:ind w:right="2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【按照国民经济行业分类（</w:t>
            </w:r>
            <w:r>
              <w:rPr>
                <w:rFonts w:ascii="宋体" w:hAnsi="宋体" w:eastAsia="宋体"/>
                <w:color w:val="000000" w:themeColor="text1"/>
                <w14:textFill>
                  <w14:solidFill>
                    <w14:schemeClr w14:val="tx1"/>
                  </w14:solidFill>
                </w14:textFill>
              </w:rPr>
              <w:t>GB/T4754-2017</w:t>
            </w:r>
            <w:r>
              <w:rPr>
                <w:rFonts w:hint="eastAsia" w:ascii="宋体" w:hAnsi="宋体" w:eastAsia="宋体"/>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指南代码</w:t>
            </w:r>
          </w:p>
        </w:tc>
        <w:tc>
          <w:tcPr>
            <w:tcW w:w="8069" w:type="dxa"/>
            <w:gridSpan w:val="6"/>
            <w:vAlign w:val="center"/>
          </w:tcPr>
          <w:p>
            <w:pPr>
              <w:snapToGrid w:val="0"/>
              <w:spacing w:before="20"/>
              <w:ind w:right="26" w:firstLine="317" w:firstLineChars="151"/>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科技报告</w:t>
            </w:r>
          </w:p>
        </w:tc>
        <w:tc>
          <w:tcPr>
            <w:tcW w:w="141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年度技术报告</w:t>
            </w:r>
          </w:p>
        </w:tc>
        <w:tc>
          <w:tcPr>
            <w:tcW w:w="1196" w:type="dxa"/>
            <w:vAlign w:val="center"/>
          </w:tcPr>
          <w:p>
            <w:pPr>
              <w:snapToGrid w:val="0"/>
              <w:spacing w:before="20"/>
              <w:ind w:right="26"/>
              <w:jc w:val="righ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中期技术</w:t>
            </w:r>
          </w:p>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报告</w:t>
            </w:r>
          </w:p>
        </w:tc>
        <w:tc>
          <w:tcPr>
            <w:tcW w:w="1364" w:type="dxa"/>
            <w:vAlign w:val="center"/>
          </w:tcPr>
          <w:p>
            <w:pPr>
              <w:snapToGrid w:val="0"/>
              <w:spacing w:before="20"/>
              <w:ind w:right="26"/>
              <w:jc w:val="righ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最终技术报告（必填）</w:t>
            </w:r>
          </w:p>
        </w:tc>
        <w:tc>
          <w:tcPr>
            <w:tcW w:w="1364" w:type="dxa"/>
            <w:vAlign w:val="center"/>
          </w:tcPr>
          <w:p>
            <w:pPr>
              <w:snapToGrid w:val="0"/>
              <w:spacing w:before="20"/>
              <w:ind w:right="26"/>
              <w:jc w:val="right"/>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9546" w:type="dxa"/>
            <w:gridSpan w:val="7"/>
            <w:vAlign w:val="center"/>
          </w:tcPr>
          <w:p>
            <w:pPr>
              <w:snapToGrid w:val="0"/>
              <w:spacing w:before="20"/>
              <w:ind w:right="26"/>
              <w:jc w:val="left"/>
              <w:rPr>
                <w:rFonts w:ascii="宋体" w:hAnsi="宋体" w:eastAsia="宋体"/>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注：</w:t>
            </w:r>
            <w:r>
              <w:rPr>
                <w:rFonts w:hint="eastAsia" w:ascii="宋体" w:hAnsi="宋体" w:eastAsia="宋体"/>
                <w:color w:val="000000" w:themeColor="text1"/>
                <w:szCs w:val="21"/>
                <w14:textFill>
                  <w14:solidFill>
                    <w14:schemeClr w14:val="tx1"/>
                  </w14:solidFill>
                </w14:textFill>
              </w:rPr>
              <w:t>根据《内蒙古自治区科技计划科技报告管理办法》要求，科技报告是科技计划项目必须形成的科技文献。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4" w:hRule="atLeast"/>
          <w:jc w:val="center"/>
        </w:trPr>
        <w:tc>
          <w:tcPr>
            <w:tcW w:w="147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项目摘要</w:t>
            </w:r>
          </w:p>
          <w:p>
            <w:pPr>
              <w:snapToGrid w:val="0"/>
              <w:spacing w:before="20"/>
              <w:ind w:right="26"/>
              <w:jc w:val="cente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(300</w:t>
            </w:r>
            <w:r>
              <w:rPr>
                <w:rFonts w:hint="eastAsia" w:ascii="宋体" w:hAnsi="宋体" w:eastAsia="宋体"/>
                <w:color w:val="000000" w:themeColor="text1"/>
                <w14:textFill>
                  <w14:solidFill>
                    <w14:schemeClr w14:val="tx1"/>
                  </w14:solidFill>
                </w14:textFill>
              </w:rPr>
              <w:t>字以内</w:t>
            </w:r>
            <w:r>
              <w:rPr>
                <w:rFonts w:ascii="宋体" w:hAnsi="宋体" w:eastAsia="宋体"/>
                <w:color w:val="000000" w:themeColor="text1"/>
                <w14:textFill>
                  <w14:solidFill>
                    <w14:schemeClr w14:val="tx1"/>
                  </w14:solidFill>
                </w14:textFill>
              </w:rPr>
              <w:t>)</w:t>
            </w:r>
          </w:p>
        </w:tc>
        <w:tc>
          <w:tcPr>
            <w:tcW w:w="8069" w:type="dxa"/>
            <w:gridSpan w:val="6"/>
            <w:vAlign w:val="center"/>
          </w:tcPr>
          <w:p>
            <w:pPr>
              <w:snapToGrid w:val="0"/>
              <w:spacing w:before="20"/>
              <w:ind w:right="26"/>
              <w:jc w:val="cente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147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项目投入</w:t>
            </w:r>
          </w:p>
        </w:tc>
        <w:tc>
          <w:tcPr>
            <w:tcW w:w="8069" w:type="dxa"/>
            <w:gridSpan w:val="6"/>
            <w:vAlign w:val="center"/>
          </w:tcPr>
          <w:p>
            <w:pPr>
              <w:snapToGrid w:val="0"/>
              <w:spacing w:before="20"/>
              <w:ind w:left="1260" w:leftChars="100" w:right="26" w:hanging="1050" w:hangingChars="5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万元（申请自治区财政科技资金 万元，单位自筹 万元，盟市 万元，其他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2" w:hRule="atLeast"/>
          <w:jc w:val="center"/>
        </w:trPr>
        <w:tc>
          <w:tcPr>
            <w:tcW w:w="147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成果形式</w:t>
            </w:r>
          </w:p>
        </w:tc>
        <w:tc>
          <w:tcPr>
            <w:tcW w:w="8069" w:type="dxa"/>
            <w:gridSpan w:val="6"/>
            <w:vAlign w:val="center"/>
          </w:tcPr>
          <w:p>
            <w:pPr>
              <w:snapToGrid w:val="0"/>
              <w:spacing w:before="20"/>
              <w:ind w:right="28"/>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□专利□新技术□新工艺□新产品□新材料□新设备□关键部件□实验装置</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系统□应用解决方案□新诊疗方案□临床指南</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规范□科学数据□软件□技术标准□其他</w:t>
            </w:r>
          </w:p>
        </w:tc>
      </w:tr>
    </w:tbl>
    <w:p>
      <w:pPr>
        <w:spacing w:line="360" w:lineRule="auto"/>
        <w:jc w:val="center"/>
        <w:rPr>
          <w:rFonts w:eastAsia="Times New Roman"/>
          <w:color w:val="000000" w:themeColor="text1"/>
          <w:sz w:val="32"/>
          <w14:textFill>
            <w14:solidFill>
              <w14:schemeClr w14:val="tx1"/>
            </w14:solidFill>
          </w14:textFill>
        </w:rPr>
        <w:sectPr>
          <w:footerReference r:id="rId9" w:type="default"/>
          <w:pgSz w:w="11906" w:h="16838"/>
          <w:pgMar w:top="1440" w:right="1287" w:bottom="1440" w:left="1191" w:header="851" w:footer="992" w:gutter="0"/>
          <w:pgNumType w:start="1"/>
          <w:cols w:space="720" w:num="1"/>
          <w:docGrid w:type="lines" w:linePitch="312" w:charSpace="0"/>
        </w:sectPr>
      </w:pPr>
    </w:p>
    <w:tbl>
      <w:tblPr>
        <w:tblStyle w:val="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一、国内外研究进展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二、研发内容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三、研究方法和技术路线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四、创新点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五、先进性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六、申报单位、参与单位科研条件支撑状况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科研设备名称</w:t>
            </w:r>
          </w:p>
        </w:tc>
        <w:tc>
          <w:tcPr>
            <w:tcW w:w="954"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型号</w:t>
            </w:r>
          </w:p>
        </w:tc>
        <w:tc>
          <w:tcPr>
            <w:tcW w:w="955"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所属</w:t>
            </w:r>
          </w:p>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单位</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原值</w:t>
            </w:r>
          </w:p>
          <w:p>
            <w:pPr>
              <w:spacing w:line="360" w:lineRule="auto"/>
              <w:jc w:val="center"/>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（单位：元）</w:t>
            </w:r>
          </w:p>
        </w:tc>
        <w:tc>
          <w:tcPr>
            <w:tcW w:w="1910"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七、负责人及研究团队的科研水平及前期研究基础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（在附件中提供相关证明材料）</w:t>
            </w: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bl>
    <w:p>
      <w:pPr>
        <w:spacing w:line="360" w:lineRule="auto"/>
        <w:rPr>
          <w:rFonts w:ascii="宋体"/>
          <w:color w:val="000000" w:themeColor="text1"/>
          <w14:textFill>
            <w14:solidFill>
              <w14:schemeClr w14:val="tx1"/>
            </w14:solidFill>
          </w14:textFill>
        </w:rPr>
        <w:sectPr>
          <w:headerReference r:id="rId11" w:type="first"/>
          <w:headerReference r:id="rId10" w:type="default"/>
          <w:footerReference r:id="rId12" w:type="default"/>
          <w:pgSz w:w="11906" w:h="16838"/>
          <w:pgMar w:top="1440" w:right="1287" w:bottom="1440" w:left="1191" w:header="851" w:footer="992" w:gutter="0"/>
          <w:cols w:space="720" w:num="1"/>
          <w:docGrid w:type="lines" w:linePitch="312" w:charSpace="0"/>
        </w:sectPr>
      </w:pPr>
    </w:p>
    <w:tbl>
      <w:tblPr>
        <w:tblStyle w:val="9"/>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八、项目目标、成果与考核指标表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项目目标</w:t>
            </w:r>
            <w:r>
              <w:rPr>
                <w:rStyle w:val="15"/>
                <w:rFonts w:ascii="仿宋" w:hAnsi="仿宋" w:eastAsia="仿宋"/>
                <w:color w:val="000000" w:themeColor="text1"/>
                <w:spacing w:val="-4"/>
                <w14:textFill>
                  <w14:solidFill>
                    <w14:schemeClr w14:val="tx1"/>
                  </w14:solidFill>
                </w14:textFill>
              </w:rPr>
              <w:t>1</w:t>
            </w:r>
          </w:p>
        </w:tc>
        <w:tc>
          <w:tcPr>
            <w:tcW w:w="116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成果名称</w:t>
            </w:r>
          </w:p>
        </w:tc>
        <w:tc>
          <w:tcPr>
            <w:tcW w:w="3456"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类型</w:t>
            </w:r>
          </w:p>
        </w:tc>
        <w:tc>
          <w:tcPr>
            <w:tcW w:w="1150"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对应的课题</w:t>
            </w:r>
            <w:r>
              <w:rPr>
                <w:rStyle w:val="15"/>
                <w:rFonts w:ascii="仿宋" w:hAnsi="仿宋" w:eastAsia="仿宋"/>
                <w:color w:val="000000" w:themeColor="text1"/>
                <w:spacing w:val="-4"/>
                <w14:textFill>
                  <w14:solidFill>
                    <w14:schemeClr w14:val="tx1"/>
                  </w14:solidFill>
                </w14:textFill>
              </w:rPr>
              <w:t>2</w:t>
            </w:r>
          </w:p>
        </w:tc>
        <w:tc>
          <w:tcPr>
            <w:tcW w:w="5049" w:type="dxa"/>
            <w:gridSpan w:val="4"/>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考核指标</w:t>
            </w:r>
            <w:r>
              <w:rPr>
                <w:rStyle w:val="15"/>
                <w:rFonts w:ascii="仿宋" w:hAnsi="仿宋" w:eastAsia="仿宋"/>
                <w:color w:val="000000" w:themeColor="text1"/>
                <w14:textFill>
                  <w14:solidFill>
                    <w14:schemeClr w14:val="tx1"/>
                  </w14:solidFill>
                </w14:textFill>
              </w:rPr>
              <w:t>3</w:t>
            </w:r>
          </w:p>
        </w:tc>
        <w:tc>
          <w:tcPr>
            <w:tcW w:w="1361"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考核方式（方法）及评价手段</w:t>
            </w:r>
            <w:r>
              <w:rPr>
                <w:rStyle w:val="15"/>
                <w:rFonts w:ascii="仿宋" w:hAnsi="仿宋" w:eastAsia="仿宋"/>
                <w:color w:val="000000" w:themeColor="text1"/>
                <w:spacing w:val="-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22" w:type="dxa"/>
            <w:vMerge w:val="continue"/>
            <w:vAlign w:val="center"/>
          </w:tcPr>
          <w:p>
            <w:pPr>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1150" w:type="dxa"/>
            <w:vMerge w:val="continue"/>
            <w:vAlign w:val="center"/>
          </w:tcPr>
          <w:p>
            <w:pPr>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名称</w:t>
            </w:r>
          </w:p>
        </w:tc>
        <w:tc>
          <w:tcPr>
            <w:tcW w:w="1516"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立项时已有指标值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20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中期指标值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r>
              <w:rPr>
                <w:rStyle w:val="15"/>
                <w:rFonts w:ascii="仿宋" w:hAnsi="仿宋" w:eastAsia="仿宋"/>
                <w:color w:val="000000" w:themeColor="text1"/>
                <w:spacing w:val="-4"/>
                <w14:textFill>
                  <w14:solidFill>
                    <w14:schemeClr w14:val="tx1"/>
                  </w14:solidFill>
                </w14:textFill>
              </w:rPr>
              <w:t>4</w:t>
            </w:r>
          </w:p>
        </w:tc>
        <w:tc>
          <w:tcPr>
            <w:tcW w:w="1283"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完成时指标值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361" w:type="dxa"/>
            <w:vMerge w:val="continue"/>
            <w:vAlign w:val="center"/>
          </w:tcPr>
          <w:p>
            <w:pPr>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14:textFill>
                  <w14:solidFill>
                    <w14:schemeClr w14:val="tx1"/>
                  </w14:solidFill>
                </w14:textFill>
              </w:rPr>
              <w:t>（限</w:t>
            </w:r>
            <w:r>
              <w:rPr>
                <w:rFonts w:ascii="仿宋" w:hAnsi="仿宋" w:eastAsia="仿宋"/>
                <w:color w:val="000000" w:themeColor="text1"/>
                <w14:textFill>
                  <w14:solidFill>
                    <w14:schemeClr w14:val="tx1"/>
                  </w14:solidFill>
                </w14:textFill>
              </w:rPr>
              <w:t>500</w:t>
            </w:r>
            <w:r>
              <w:rPr>
                <w:rFonts w:hint="eastAsia" w:ascii="仿宋" w:hAnsi="仿宋" w:eastAsia="仿宋"/>
                <w:color w:val="000000" w:themeColor="text1"/>
                <w14:textFill>
                  <w14:solidFill>
                    <w14:schemeClr w14:val="tx1"/>
                  </w14:solidFill>
                </w14:textFill>
              </w:rPr>
              <w:t>字以内。）</w:t>
            </w:r>
          </w:p>
        </w:tc>
        <w:tc>
          <w:tcPr>
            <w:tcW w:w="1162" w:type="dxa"/>
            <w:vMerge w:val="restart"/>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1</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rPr>
                <w:rFonts w:ascii="仿宋" w:hAnsi="仿宋" w:eastAsia="仿宋"/>
                <w:color w:val="000000" w:themeColor="text1"/>
                <w:spacing w:val="-4"/>
                <w:u w:val="single"/>
                <w14:textFill>
                  <w14:solidFill>
                    <w14:schemeClr w14:val="tx1"/>
                  </w14:solidFill>
                </w14:textFill>
              </w:rPr>
            </w:pPr>
            <w:r>
              <w:rPr>
                <w:rFonts w:hint="eastAsia" w:ascii="仿宋" w:hAnsi="仿宋" w:eastAsia="仿宋"/>
                <w:color w:val="000000" w:themeColor="text1"/>
                <w14:textFill>
                  <w14:solidFill>
                    <w14:schemeClr w14:val="tx1"/>
                  </w14:solidFill>
                </w14:textFill>
              </w:rPr>
              <w:t>□专利□著作权□标准□新技术、新产品（品种）、新材料或新设备□新方法□关键部件□数据库□软件□应用解决方案□实验装置</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系统□临床批件□工程工艺□论文□产业化□基地□其他</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1.1</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2</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2.1</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pPr>
              <w:adjustRightInd w:val="0"/>
              <w:snapToGrid w:val="0"/>
              <w:spacing w:line="240" w:lineRule="exact"/>
              <w:rPr>
                <w:rFonts w:ascii="仿宋" w:hAnsi="仿宋" w:eastAsia="仿宋"/>
                <w:color w:val="000000" w:themeColor="text1"/>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tcPr>
          <w:p>
            <w:pPr>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3456" w:type="dxa"/>
            <w:vMerge w:val="restart"/>
          </w:tcPr>
          <w:p>
            <w:pPr>
              <w:adjustRightInd w:val="0"/>
              <w:snapToGrid w:val="0"/>
              <w:spacing w:line="24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其他目标与考核指标（对于难以采取上述表格细化的项目目标及其考核指标，可在此细化填写，限</w:t>
            </w:r>
            <w:r>
              <w:rPr>
                <w:rFonts w:ascii="仿宋" w:hAnsi="仿宋" w:eastAsia="仿宋"/>
                <w:color w:val="000000" w:themeColor="text1"/>
                <w:spacing w:val="-4"/>
                <w14:textFill>
                  <w14:solidFill>
                    <w14:schemeClr w14:val="tx1"/>
                  </w14:solidFill>
                </w14:textFill>
              </w:rPr>
              <w:t>1000</w:t>
            </w:r>
            <w:r>
              <w:rPr>
                <w:rFonts w:hint="eastAsia" w:ascii="仿宋" w:hAnsi="仿宋" w:eastAsia="仿宋"/>
                <w:color w:val="000000" w:themeColor="text1"/>
                <w:spacing w:val="-4"/>
                <w14:textFill>
                  <w14:solidFill>
                    <w14:schemeClr w14:val="tx1"/>
                  </w14:solidFill>
                </w14:textFill>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“项目目标”，应从以下方面明确描述：（</w:t>
            </w: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）项目研发主要针对什么问题和需求；（</w:t>
            </w: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）将要解决哪些科学问题、突破哪些核心</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共性</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关键技术；（</w:t>
            </w: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）预期成果；（</w:t>
            </w: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）成果将以何种方式应用在哪些领域</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行业</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重大工程等，并拟在科技、经济、社会、环境等方面发挥何种的作用和影响。</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“对应的课题（任务）”，课题任务的主要成果，指将由项目内哪些课题（任务）支撑取得某项成果。</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状态以及项目完成时要到达的指标值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状态可填写“无”</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若某项成果在立项时已有指标值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状态难以界定，则可填写“</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“中期指标”，可根据每个项目管理特点，确定是否填写，阶段目标明确的项目应填写中期指标。</w:t>
            </w:r>
          </w:p>
          <w:p>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5.</w:t>
            </w:r>
            <w:r>
              <w:rPr>
                <w:rFonts w:hint="eastAsia" w:ascii="仿宋_GB2312" w:hAnsi="仿宋" w:eastAsia="仿宋_GB2312"/>
                <w:color w:val="000000" w:themeColor="text1"/>
                <w:spacing w:val="-4"/>
                <w14:textFill>
                  <w14:solidFill>
                    <w14:schemeClr w14:val="tx1"/>
                  </w14:solidFill>
                </w14:textFill>
              </w:rPr>
              <w:t>“考核方式方法”，应提出符合相关研究成果与指标的具体考核技术方法、证明材料等。</w:t>
            </w:r>
          </w:p>
        </w:tc>
      </w:tr>
    </w:tbl>
    <w:p>
      <w:pPr>
        <w:spacing w:line="360" w:lineRule="auto"/>
        <w:rPr>
          <w:rFonts w:ascii="宋体"/>
          <w:color w:val="000000" w:themeColor="text1"/>
          <w14:textFill>
            <w14:solidFill>
              <w14:schemeClr w14:val="tx1"/>
            </w14:solidFill>
          </w14:textFill>
        </w:rPr>
        <w:sectPr>
          <w:pgSz w:w="16838" w:h="11906" w:orient="landscape"/>
          <w:pgMar w:top="1191" w:right="1440" w:bottom="1287" w:left="1440" w:header="851" w:footer="992" w:gutter="0"/>
          <w:cols w:space="720" w:num="1"/>
          <w:docGrid w:type="lines" w:linePitch="312" w:charSpace="0"/>
        </w:sectPr>
      </w:pPr>
    </w:p>
    <w:tbl>
      <w:tblPr>
        <w:tblStyle w:val="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182"/>
        <w:gridCol w:w="831"/>
        <w:gridCol w:w="444"/>
        <w:gridCol w:w="1124"/>
        <w:gridCol w:w="348"/>
        <w:gridCol w:w="316"/>
        <w:gridCol w:w="1037"/>
        <w:gridCol w:w="206"/>
        <w:gridCol w:w="164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2"/>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九、课题设置（项目未设课题不必填写）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pPr>
              <w:spacing w:line="360" w:lineRule="auto"/>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2013" w:type="dxa"/>
            <w:gridSpan w:val="2"/>
          </w:tcPr>
          <w:p>
            <w:pPr>
              <w:spacing w:line="360" w:lineRule="auto"/>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课题名称</w:t>
            </w:r>
          </w:p>
        </w:tc>
        <w:tc>
          <w:tcPr>
            <w:tcW w:w="1568" w:type="dxa"/>
            <w:gridSpan w:val="2"/>
          </w:tcPr>
          <w:p>
            <w:pPr>
              <w:spacing w:line="360" w:lineRule="auto"/>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课题承担单位</w:t>
            </w:r>
          </w:p>
        </w:tc>
        <w:tc>
          <w:tcPr>
            <w:tcW w:w="1701" w:type="dxa"/>
            <w:gridSpan w:val="3"/>
          </w:tcPr>
          <w:p>
            <w:pPr>
              <w:spacing w:line="360" w:lineRule="auto"/>
              <w:jc w:val="center"/>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课题负责人</w:t>
            </w:r>
          </w:p>
        </w:tc>
        <w:tc>
          <w:tcPr>
            <w:tcW w:w="2747" w:type="dxa"/>
            <w:gridSpan w:val="3"/>
          </w:tcPr>
          <w:p>
            <w:pPr>
              <w:spacing w:line="360" w:lineRule="auto"/>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bCs/>
                <w:color w:val="000000" w:themeColor="text1"/>
                <w14:textFill>
                  <w14:solidFill>
                    <w14:schemeClr w14:val="tx1"/>
                  </w14:solidFill>
                </w14:textFill>
              </w:rPr>
            </w:pPr>
          </w:p>
        </w:tc>
        <w:tc>
          <w:tcPr>
            <w:tcW w:w="2013" w:type="dxa"/>
            <w:gridSpan w:val="2"/>
          </w:tcPr>
          <w:p>
            <w:pPr>
              <w:spacing w:line="360" w:lineRule="auto"/>
              <w:rPr>
                <w:rFonts w:ascii="宋体"/>
                <w:bCs/>
                <w:color w:val="000000" w:themeColor="text1"/>
                <w14:textFill>
                  <w14:solidFill>
                    <w14:schemeClr w14:val="tx1"/>
                  </w14:solidFill>
                </w14:textFill>
              </w:rPr>
            </w:pPr>
          </w:p>
        </w:tc>
        <w:tc>
          <w:tcPr>
            <w:tcW w:w="1568" w:type="dxa"/>
            <w:gridSpan w:val="2"/>
          </w:tcPr>
          <w:p>
            <w:pPr>
              <w:spacing w:line="360" w:lineRule="auto"/>
              <w:rPr>
                <w:rFonts w:ascii="宋体"/>
                <w:bCs/>
                <w:color w:val="000000" w:themeColor="text1"/>
                <w14:textFill>
                  <w14:solidFill>
                    <w14:schemeClr w14:val="tx1"/>
                  </w14:solidFill>
                </w14:textFill>
              </w:rPr>
            </w:pPr>
          </w:p>
        </w:tc>
        <w:tc>
          <w:tcPr>
            <w:tcW w:w="1701" w:type="dxa"/>
            <w:gridSpan w:val="3"/>
          </w:tcPr>
          <w:p>
            <w:pPr>
              <w:spacing w:line="360" w:lineRule="auto"/>
              <w:rPr>
                <w:rFonts w:ascii="宋体"/>
                <w:bCs/>
                <w:color w:val="000000" w:themeColor="text1"/>
                <w14:textFill>
                  <w14:solidFill>
                    <w14:schemeClr w14:val="tx1"/>
                  </w14:solidFill>
                </w14:textFill>
              </w:rPr>
            </w:pPr>
          </w:p>
        </w:tc>
        <w:tc>
          <w:tcPr>
            <w:tcW w:w="2747" w:type="dxa"/>
            <w:gridSpan w:val="3"/>
          </w:tcPr>
          <w:p>
            <w:pPr>
              <w:spacing w:line="360" w:lineRule="auto"/>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pPr>
              <w:spacing w:line="360" w:lineRule="auto"/>
              <w:rPr>
                <w:rFonts w:ascii="宋体"/>
                <w:bCs/>
                <w:color w:val="000000" w:themeColor="text1"/>
                <w14:textFill>
                  <w14:solidFill>
                    <w14:schemeClr w14:val="tx1"/>
                  </w14:solidFill>
                </w14:textFill>
              </w:rPr>
            </w:pPr>
          </w:p>
        </w:tc>
        <w:tc>
          <w:tcPr>
            <w:tcW w:w="2013" w:type="dxa"/>
            <w:gridSpan w:val="2"/>
          </w:tcPr>
          <w:p>
            <w:pPr>
              <w:spacing w:line="360" w:lineRule="auto"/>
              <w:rPr>
                <w:rFonts w:ascii="宋体"/>
                <w:bCs/>
                <w:color w:val="000000" w:themeColor="text1"/>
                <w14:textFill>
                  <w14:solidFill>
                    <w14:schemeClr w14:val="tx1"/>
                  </w14:solidFill>
                </w14:textFill>
              </w:rPr>
            </w:pPr>
          </w:p>
        </w:tc>
        <w:tc>
          <w:tcPr>
            <w:tcW w:w="1568" w:type="dxa"/>
            <w:gridSpan w:val="2"/>
          </w:tcPr>
          <w:p>
            <w:pPr>
              <w:spacing w:line="360" w:lineRule="auto"/>
              <w:rPr>
                <w:rFonts w:ascii="宋体"/>
                <w:bCs/>
                <w:color w:val="000000" w:themeColor="text1"/>
                <w14:textFill>
                  <w14:solidFill>
                    <w14:schemeClr w14:val="tx1"/>
                  </w14:solidFill>
                </w14:textFill>
              </w:rPr>
            </w:pPr>
          </w:p>
        </w:tc>
        <w:tc>
          <w:tcPr>
            <w:tcW w:w="1701" w:type="dxa"/>
            <w:gridSpan w:val="3"/>
          </w:tcPr>
          <w:p>
            <w:pPr>
              <w:spacing w:line="360" w:lineRule="auto"/>
              <w:rPr>
                <w:rFonts w:ascii="宋体"/>
                <w:bCs/>
                <w:color w:val="000000" w:themeColor="text1"/>
                <w14:textFill>
                  <w14:solidFill>
                    <w14:schemeClr w14:val="tx1"/>
                  </w14:solidFill>
                </w14:textFill>
              </w:rPr>
            </w:pPr>
          </w:p>
        </w:tc>
        <w:tc>
          <w:tcPr>
            <w:tcW w:w="2747" w:type="dxa"/>
            <w:gridSpan w:val="3"/>
          </w:tcPr>
          <w:p>
            <w:pPr>
              <w:spacing w:line="360" w:lineRule="auto"/>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vAlign w:val="center"/>
          </w:tcPr>
          <w:p>
            <w:pPr>
              <w:spacing w:line="360" w:lineRule="auto"/>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十、项目安排及阶段目标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完成时限</w:t>
            </w:r>
          </w:p>
        </w:tc>
        <w:tc>
          <w:tcPr>
            <w:tcW w:w="3063" w:type="dxa"/>
            <w:gridSpan w:val="5"/>
            <w:vAlign w:val="center"/>
          </w:tcPr>
          <w:p>
            <w:pPr>
              <w:spacing w:line="360" w:lineRule="auto"/>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进度安排</w:t>
            </w:r>
          </w:p>
        </w:tc>
        <w:tc>
          <w:tcPr>
            <w:tcW w:w="3784" w:type="dxa"/>
            <w:gridSpan w:val="4"/>
            <w:vAlign w:val="center"/>
          </w:tcPr>
          <w:p>
            <w:pPr>
              <w:spacing w:line="360" w:lineRule="auto"/>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年</w:t>
            </w:r>
            <w:r>
              <w:rPr>
                <w:rFonts w:hint="eastAsia" w:ascii="宋体" w:hAnsi="宋体" w:eastAsia="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月至</w:t>
            </w:r>
            <w:r>
              <w:rPr>
                <w:rFonts w:hint="eastAsia" w:ascii="宋体" w:hAnsi="宋体" w:eastAsia="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hint="eastAsia" w:ascii="宋体" w:hAnsi="宋体" w:eastAsia="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p>
        </w:tc>
        <w:tc>
          <w:tcPr>
            <w:tcW w:w="3063" w:type="dxa"/>
            <w:gridSpan w:val="5"/>
          </w:tcPr>
          <w:p>
            <w:pPr>
              <w:spacing w:line="360" w:lineRule="auto"/>
              <w:rPr>
                <w:rFonts w:ascii="宋体"/>
                <w:bCs/>
                <w:color w:val="000000" w:themeColor="text1"/>
                <w14:textFill>
                  <w14:solidFill>
                    <w14:schemeClr w14:val="tx1"/>
                  </w14:solidFill>
                </w14:textFill>
              </w:rPr>
            </w:pPr>
          </w:p>
        </w:tc>
        <w:tc>
          <w:tcPr>
            <w:tcW w:w="3784" w:type="dxa"/>
            <w:gridSpan w:val="4"/>
          </w:tcPr>
          <w:p>
            <w:pPr>
              <w:spacing w:line="360" w:lineRule="auto"/>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年</w:t>
            </w:r>
            <w:r>
              <w:rPr>
                <w:rFonts w:hint="eastAsia" w:ascii="宋体" w:hAnsi="宋体" w:eastAsia="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月至</w:t>
            </w:r>
            <w:r>
              <w:rPr>
                <w:rFonts w:hint="eastAsia" w:ascii="宋体" w:hAnsi="宋体" w:eastAsia="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hint="eastAsia" w:ascii="宋体" w:hAnsi="宋体" w:eastAsia="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p>
        </w:tc>
        <w:tc>
          <w:tcPr>
            <w:tcW w:w="3063" w:type="dxa"/>
            <w:gridSpan w:val="5"/>
          </w:tcPr>
          <w:p>
            <w:pPr>
              <w:spacing w:line="360" w:lineRule="auto"/>
              <w:rPr>
                <w:rFonts w:ascii="宋体"/>
                <w:bCs/>
                <w:color w:val="000000" w:themeColor="text1"/>
                <w14:textFill>
                  <w14:solidFill>
                    <w14:schemeClr w14:val="tx1"/>
                  </w14:solidFill>
                </w14:textFill>
              </w:rPr>
            </w:pPr>
          </w:p>
        </w:tc>
        <w:tc>
          <w:tcPr>
            <w:tcW w:w="3784" w:type="dxa"/>
            <w:gridSpan w:val="4"/>
          </w:tcPr>
          <w:p>
            <w:pPr>
              <w:spacing w:line="360" w:lineRule="auto"/>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年</w:t>
            </w:r>
            <w:r>
              <w:rPr>
                <w:rFonts w:hint="eastAsia" w:ascii="宋体" w:hAnsi="宋体" w:eastAsia="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月至</w:t>
            </w:r>
            <w:r>
              <w:rPr>
                <w:rFonts w:hint="eastAsia" w:ascii="宋体" w:hAnsi="宋体" w:eastAsia="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hint="eastAsia" w:ascii="宋体" w:hAnsi="宋体" w:eastAsia="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p>
        </w:tc>
        <w:tc>
          <w:tcPr>
            <w:tcW w:w="3063" w:type="dxa"/>
            <w:gridSpan w:val="5"/>
          </w:tcPr>
          <w:p>
            <w:pPr>
              <w:spacing w:line="360" w:lineRule="auto"/>
              <w:rPr>
                <w:rFonts w:ascii="宋体"/>
                <w:bCs/>
                <w:color w:val="000000" w:themeColor="text1"/>
                <w14:textFill>
                  <w14:solidFill>
                    <w14:schemeClr w14:val="tx1"/>
                  </w14:solidFill>
                </w14:textFill>
              </w:rPr>
            </w:pPr>
          </w:p>
        </w:tc>
        <w:tc>
          <w:tcPr>
            <w:tcW w:w="3784" w:type="dxa"/>
            <w:gridSpan w:val="4"/>
          </w:tcPr>
          <w:p>
            <w:pPr>
              <w:spacing w:line="360" w:lineRule="auto"/>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vAlign w:val="center"/>
          </w:tcPr>
          <w:p>
            <w:pPr>
              <w:spacing w:line="360" w:lineRule="auto"/>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十一、项目经费构成表</w:t>
            </w:r>
            <w:r>
              <w:rPr>
                <w:rFonts w:hint="eastAsia"/>
                <w:bCs/>
                <w:color w:val="000000" w:themeColor="text1"/>
                <w14:textFill>
                  <w14:solidFill>
                    <w14:schemeClr w14:val="tx1"/>
                  </w14:solidFill>
                </w14:textFill>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39" w:type="dxa"/>
            <w:vAlign w:val="center"/>
          </w:tcPr>
          <w:p>
            <w:pPr>
              <w:spacing w:line="240" w:lineRule="atLeas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年度</w:t>
            </w:r>
          </w:p>
        </w:tc>
        <w:tc>
          <w:tcPr>
            <w:tcW w:w="1560" w:type="dxa"/>
            <w:gridSpan w:val="2"/>
            <w:vAlign w:val="center"/>
          </w:tcPr>
          <w:p>
            <w:pPr>
              <w:spacing w:line="240" w:lineRule="atLeas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总额</w:t>
            </w:r>
          </w:p>
        </w:tc>
        <w:tc>
          <w:tcPr>
            <w:tcW w:w="1275" w:type="dxa"/>
            <w:gridSpan w:val="2"/>
            <w:vAlign w:val="center"/>
          </w:tcPr>
          <w:p>
            <w:pPr>
              <w:spacing w:line="240" w:lineRule="atLeas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自治区</w:t>
            </w:r>
          </w:p>
          <w:p>
            <w:pPr>
              <w:spacing w:line="240" w:lineRule="atLeas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财政科技</w:t>
            </w:r>
          </w:p>
          <w:p>
            <w:pPr>
              <w:spacing w:line="240" w:lineRule="atLeas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资金</w:t>
            </w:r>
          </w:p>
        </w:tc>
        <w:tc>
          <w:tcPr>
            <w:tcW w:w="1472" w:type="dxa"/>
            <w:gridSpan w:val="2"/>
            <w:vAlign w:val="center"/>
          </w:tcPr>
          <w:p>
            <w:pPr>
              <w:spacing w:line="240" w:lineRule="atLeas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自筹资金</w:t>
            </w:r>
          </w:p>
        </w:tc>
        <w:tc>
          <w:tcPr>
            <w:tcW w:w="1559" w:type="dxa"/>
            <w:gridSpan w:val="3"/>
            <w:vAlign w:val="center"/>
          </w:tcPr>
          <w:p>
            <w:pPr>
              <w:spacing w:line="240" w:lineRule="atLeas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盟市财政</w:t>
            </w:r>
          </w:p>
          <w:p>
            <w:pPr>
              <w:spacing w:line="240" w:lineRule="atLeas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资金</w:t>
            </w:r>
          </w:p>
        </w:tc>
        <w:tc>
          <w:tcPr>
            <w:tcW w:w="1649" w:type="dxa"/>
            <w:vAlign w:val="center"/>
          </w:tcPr>
          <w:p>
            <w:pPr>
              <w:spacing w:line="240" w:lineRule="atLeas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其他渠道</w:t>
            </w:r>
          </w:p>
          <w:p>
            <w:pPr>
              <w:spacing w:line="240" w:lineRule="atLeas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资金</w:t>
            </w:r>
          </w:p>
        </w:tc>
        <w:tc>
          <w:tcPr>
            <w:tcW w:w="892" w:type="dxa"/>
            <w:vAlign w:val="center"/>
          </w:tcPr>
          <w:p>
            <w:pPr>
              <w:spacing w:line="240" w:lineRule="atLeas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bCs/>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bCs/>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bCs/>
                <w:color w:val="000000" w:themeColor="text1"/>
                <w14:textFill>
                  <w14:solidFill>
                    <w14:schemeClr w14:val="tx1"/>
                  </w14:solidFill>
                </w14:textFill>
              </w:rPr>
            </w:pPr>
          </w:p>
        </w:tc>
        <w:tc>
          <w:tcPr>
            <w:tcW w:w="1472" w:type="dxa"/>
            <w:gridSpan w:val="2"/>
            <w:vAlign w:val="center"/>
          </w:tcPr>
          <w:p>
            <w:pPr>
              <w:spacing w:line="240" w:lineRule="atLeast"/>
              <w:jc w:val="center"/>
              <w:rPr>
                <w:rFonts w:eastAsia="Times New Roman"/>
                <w:bCs/>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bCs/>
                <w:color w:val="000000" w:themeColor="text1"/>
                <w14:textFill>
                  <w14:solidFill>
                    <w14:schemeClr w14:val="tx1"/>
                  </w14:solidFill>
                </w14:textFill>
              </w:rPr>
            </w:pPr>
          </w:p>
        </w:tc>
        <w:tc>
          <w:tcPr>
            <w:tcW w:w="1649" w:type="dxa"/>
            <w:vAlign w:val="center"/>
          </w:tcPr>
          <w:p>
            <w:pPr>
              <w:spacing w:line="240" w:lineRule="atLeast"/>
              <w:jc w:val="center"/>
              <w:rPr>
                <w:rFonts w:eastAsia="Times New Roman"/>
                <w:bCs/>
                <w:color w:val="000000" w:themeColor="text1"/>
                <w14:textFill>
                  <w14:solidFill>
                    <w14:schemeClr w14:val="tx1"/>
                  </w14:solidFill>
                </w14:textFill>
              </w:rPr>
            </w:pPr>
          </w:p>
        </w:tc>
        <w:tc>
          <w:tcPr>
            <w:tcW w:w="892" w:type="dxa"/>
            <w:vAlign w:val="center"/>
          </w:tcPr>
          <w:p>
            <w:pPr>
              <w:spacing w:line="240" w:lineRule="atLeast"/>
              <w:jc w:val="center"/>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bCs/>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bCs/>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bCs/>
                <w:color w:val="000000" w:themeColor="text1"/>
                <w14:textFill>
                  <w14:solidFill>
                    <w14:schemeClr w14:val="tx1"/>
                  </w14:solidFill>
                </w14:textFill>
              </w:rPr>
            </w:pPr>
          </w:p>
        </w:tc>
        <w:tc>
          <w:tcPr>
            <w:tcW w:w="1472" w:type="dxa"/>
            <w:gridSpan w:val="2"/>
            <w:vAlign w:val="center"/>
          </w:tcPr>
          <w:p>
            <w:pPr>
              <w:spacing w:line="240" w:lineRule="atLeast"/>
              <w:jc w:val="center"/>
              <w:rPr>
                <w:rFonts w:eastAsia="Times New Roman"/>
                <w:bCs/>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bCs/>
                <w:color w:val="000000" w:themeColor="text1"/>
                <w14:textFill>
                  <w14:solidFill>
                    <w14:schemeClr w14:val="tx1"/>
                  </w14:solidFill>
                </w14:textFill>
              </w:rPr>
            </w:pPr>
          </w:p>
        </w:tc>
        <w:tc>
          <w:tcPr>
            <w:tcW w:w="1649" w:type="dxa"/>
            <w:vAlign w:val="center"/>
          </w:tcPr>
          <w:p>
            <w:pPr>
              <w:spacing w:line="240" w:lineRule="atLeast"/>
              <w:jc w:val="center"/>
              <w:rPr>
                <w:rFonts w:eastAsia="Times New Roman"/>
                <w:bCs/>
                <w:color w:val="000000" w:themeColor="text1"/>
                <w14:textFill>
                  <w14:solidFill>
                    <w14:schemeClr w14:val="tx1"/>
                  </w14:solidFill>
                </w14:textFill>
              </w:rPr>
            </w:pPr>
          </w:p>
        </w:tc>
        <w:tc>
          <w:tcPr>
            <w:tcW w:w="892" w:type="dxa"/>
            <w:vAlign w:val="center"/>
          </w:tcPr>
          <w:p>
            <w:pPr>
              <w:spacing w:line="240" w:lineRule="atLeast"/>
              <w:jc w:val="center"/>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tcBorders>
              <w:bottom w:val="single" w:color="auto" w:sz="4" w:space="0"/>
            </w:tcBorders>
            <w:vAlign w:val="center"/>
          </w:tcPr>
          <w:p>
            <w:pPr>
              <w:spacing w:line="240" w:lineRule="atLeast"/>
              <w:jc w:val="center"/>
              <w:rPr>
                <w:rFonts w:eastAsia="Times New Roman"/>
                <w:bCs/>
                <w:color w:val="000000" w:themeColor="text1"/>
                <w14:textFill>
                  <w14:solidFill>
                    <w14:schemeClr w14:val="tx1"/>
                  </w14:solidFill>
                </w14:textFill>
              </w:rPr>
            </w:pPr>
          </w:p>
        </w:tc>
        <w:tc>
          <w:tcPr>
            <w:tcW w:w="1560" w:type="dxa"/>
            <w:gridSpan w:val="2"/>
            <w:tcBorders>
              <w:bottom w:val="single" w:color="auto" w:sz="4" w:space="0"/>
            </w:tcBorders>
            <w:vAlign w:val="center"/>
          </w:tcPr>
          <w:p>
            <w:pPr>
              <w:spacing w:line="240" w:lineRule="atLeast"/>
              <w:jc w:val="center"/>
              <w:rPr>
                <w:rFonts w:eastAsia="Times New Roman"/>
                <w:bCs/>
                <w:color w:val="000000" w:themeColor="text1"/>
                <w14:textFill>
                  <w14:solidFill>
                    <w14:schemeClr w14:val="tx1"/>
                  </w14:solidFill>
                </w14:textFill>
              </w:rPr>
            </w:pPr>
          </w:p>
        </w:tc>
        <w:tc>
          <w:tcPr>
            <w:tcW w:w="1275" w:type="dxa"/>
            <w:gridSpan w:val="2"/>
            <w:tcBorders>
              <w:bottom w:val="single" w:color="auto" w:sz="4" w:space="0"/>
            </w:tcBorders>
            <w:vAlign w:val="center"/>
          </w:tcPr>
          <w:p>
            <w:pPr>
              <w:spacing w:line="240" w:lineRule="atLeast"/>
              <w:jc w:val="center"/>
              <w:rPr>
                <w:rFonts w:eastAsia="Times New Roman"/>
                <w:bCs/>
                <w:color w:val="000000" w:themeColor="text1"/>
                <w14:textFill>
                  <w14:solidFill>
                    <w14:schemeClr w14:val="tx1"/>
                  </w14:solidFill>
                </w14:textFill>
              </w:rPr>
            </w:pPr>
          </w:p>
        </w:tc>
        <w:tc>
          <w:tcPr>
            <w:tcW w:w="1472" w:type="dxa"/>
            <w:gridSpan w:val="2"/>
            <w:tcBorders>
              <w:bottom w:val="single" w:color="auto" w:sz="4" w:space="0"/>
            </w:tcBorders>
            <w:vAlign w:val="center"/>
          </w:tcPr>
          <w:p>
            <w:pPr>
              <w:spacing w:line="240" w:lineRule="atLeast"/>
              <w:jc w:val="center"/>
              <w:rPr>
                <w:rFonts w:eastAsia="Times New Roman"/>
                <w:bCs/>
                <w:color w:val="000000" w:themeColor="text1"/>
                <w14:textFill>
                  <w14:solidFill>
                    <w14:schemeClr w14:val="tx1"/>
                  </w14:solidFill>
                </w14:textFill>
              </w:rPr>
            </w:pPr>
          </w:p>
        </w:tc>
        <w:tc>
          <w:tcPr>
            <w:tcW w:w="1559" w:type="dxa"/>
            <w:gridSpan w:val="3"/>
            <w:tcBorders>
              <w:bottom w:val="single" w:color="auto" w:sz="4" w:space="0"/>
            </w:tcBorders>
            <w:vAlign w:val="center"/>
          </w:tcPr>
          <w:p>
            <w:pPr>
              <w:spacing w:line="240" w:lineRule="atLeast"/>
              <w:jc w:val="center"/>
              <w:rPr>
                <w:rFonts w:eastAsia="Times New Roman"/>
                <w:bCs/>
                <w:color w:val="000000" w:themeColor="text1"/>
                <w14:textFill>
                  <w14:solidFill>
                    <w14:schemeClr w14:val="tx1"/>
                  </w14:solidFill>
                </w14:textFill>
              </w:rPr>
            </w:pPr>
          </w:p>
        </w:tc>
        <w:tc>
          <w:tcPr>
            <w:tcW w:w="1649" w:type="dxa"/>
            <w:tcBorders>
              <w:bottom w:val="single" w:color="auto" w:sz="4" w:space="0"/>
            </w:tcBorders>
            <w:vAlign w:val="center"/>
          </w:tcPr>
          <w:p>
            <w:pPr>
              <w:spacing w:line="240" w:lineRule="atLeast"/>
              <w:jc w:val="center"/>
              <w:rPr>
                <w:rFonts w:eastAsia="Times New Roman"/>
                <w:bCs/>
                <w:color w:val="000000" w:themeColor="text1"/>
                <w14:textFill>
                  <w14:solidFill>
                    <w14:schemeClr w14:val="tx1"/>
                  </w14:solidFill>
                </w14:textFill>
              </w:rPr>
            </w:pPr>
          </w:p>
        </w:tc>
        <w:tc>
          <w:tcPr>
            <w:tcW w:w="892" w:type="dxa"/>
            <w:tcBorders>
              <w:bottom w:val="single" w:color="auto" w:sz="4" w:space="0"/>
            </w:tcBorders>
            <w:vAlign w:val="center"/>
          </w:tcPr>
          <w:p>
            <w:pPr>
              <w:spacing w:line="240" w:lineRule="atLeast"/>
              <w:jc w:val="center"/>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合计</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Cs/>
                <w:color w:val="000000" w:themeColor="text1"/>
                <w14:textFill>
                  <w14:solidFill>
                    <w14:schemeClr w14:val="tx1"/>
                  </w14:solidFill>
                </w14:textFill>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Cs/>
                <w:color w:val="000000" w:themeColor="text1"/>
                <w14:textFill>
                  <w14:solidFill>
                    <w14:schemeClr w14:val="tx1"/>
                  </w14:solidFill>
                </w14:textFill>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Cs/>
                <w:color w:val="000000" w:themeColor="text1"/>
                <w14:textFill>
                  <w14:solidFill>
                    <w14:schemeClr w14:val="tx1"/>
                  </w14:solidFill>
                </w14:textFill>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Cs/>
                <w:color w:val="000000" w:themeColor="text1"/>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Cs/>
                <w:color w:val="000000" w:themeColor="text1"/>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eastAsia="Times New Roman"/>
                <w:bCs/>
                <w:color w:val="000000" w:themeColor="text1"/>
                <w14:textFill>
                  <w14:solidFill>
                    <w14:schemeClr w14:val="tx1"/>
                  </w14:solidFill>
                </w14:textFill>
              </w:rPr>
            </w:pPr>
            <w:r>
              <w:rPr>
                <w:rFonts w:hint="eastAsia" w:asciiTheme="minorEastAsia" w:hAnsiTheme="minorEastAsia"/>
                <w:bCs/>
                <w:color w:val="000000" w:themeColor="text1"/>
                <w14:textFill>
                  <w14:solidFill>
                    <w14:schemeClr w14:val="tx1"/>
                  </w14:solidFill>
                </w14:textFill>
              </w:rPr>
              <w:t>注：自治区财政科技资金在2026年度进行全额填报，其他类别资金按实际情况可分年度填报。</w:t>
            </w:r>
          </w:p>
        </w:tc>
      </w:tr>
    </w:tbl>
    <w:p>
      <w:pPr>
        <w:spacing w:line="360" w:lineRule="auto"/>
        <w:rPr>
          <w:rFonts w:ascii="宋体"/>
          <w:bCs/>
          <w:color w:val="000000" w:themeColor="text1"/>
          <w14:textFill>
            <w14:solidFill>
              <w14:schemeClr w14:val="tx1"/>
            </w14:solidFill>
          </w14:textFill>
        </w:rPr>
        <w:sectPr>
          <w:pgSz w:w="11906" w:h="16838"/>
          <w:pgMar w:top="1440" w:right="1287" w:bottom="1440" w:left="1191" w:header="851" w:footer="992" w:gutter="0"/>
          <w:cols w:space="720" w:num="1"/>
          <w:docGrid w:type="lines" w:linePitch="312" w:charSpace="0"/>
        </w:sectPr>
      </w:pPr>
    </w:p>
    <w:p>
      <w:pPr>
        <w:spacing w:line="360" w:lineRule="auto"/>
        <w:ind w:firstLine="420" w:firstLineChars="200"/>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十二、项目参加人员</w:t>
      </w:r>
    </w:p>
    <w:p>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（说明：所有参与项目的人员需提供身份证、学历证书、职称证书扫描件作为附件）</w:t>
      </w:r>
    </w:p>
    <w:tbl>
      <w:tblPr>
        <w:tblStyle w:val="9"/>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80"/>
        <w:gridCol w:w="733"/>
        <w:gridCol w:w="708"/>
        <w:gridCol w:w="2084"/>
        <w:gridCol w:w="1762"/>
        <w:gridCol w:w="979"/>
        <w:gridCol w:w="783"/>
        <w:gridCol w:w="783"/>
        <w:gridCol w:w="1762"/>
        <w:gridCol w:w="352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pPr>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80" w:type="dxa"/>
            <w:vAlign w:val="center"/>
          </w:tcPr>
          <w:p>
            <w:pPr>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姓名</w:t>
            </w:r>
          </w:p>
        </w:tc>
        <w:tc>
          <w:tcPr>
            <w:tcW w:w="733" w:type="dxa"/>
            <w:vAlign w:val="center"/>
          </w:tcPr>
          <w:p>
            <w:pPr>
              <w:widowControl/>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性别</w:t>
            </w:r>
          </w:p>
        </w:tc>
        <w:tc>
          <w:tcPr>
            <w:tcW w:w="708" w:type="dxa"/>
            <w:vAlign w:val="center"/>
          </w:tcPr>
          <w:p>
            <w:pPr>
              <w:widowControl/>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年龄</w:t>
            </w:r>
          </w:p>
        </w:tc>
        <w:tc>
          <w:tcPr>
            <w:tcW w:w="2084" w:type="dxa"/>
            <w:vAlign w:val="center"/>
          </w:tcPr>
          <w:p>
            <w:pPr>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身份证号码</w:t>
            </w:r>
          </w:p>
        </w:tc>
        <w:tc>
          <w:tcPr>
            <w:tcW w:w="1762" w:type="dxa"/>
            <w:vAlign w:val="center"/>
          </w:tcPr>
          <w:p>
            <w:pPr>
              <w:jc w:val="center"/>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参与方式</w:t>
            </w:r>
          </w:p>
          <w:p>
            <w:pPr>
              <w:jc w:val="center"/>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（全职</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兼职）</w:t>
            </w:r>
          </w:p>
        </w:tc>
        <w:tc>
          <w:tcPr>
            <w:tcW w:w="979" w:type="dxa"/>
            <w:vAlign w:val="center"/>
          </w:tcPr>
          <w:p>
            <w:pPr>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职称</w:t>
            </w:r>
          </w:p>
        </w:tc>
        <w:tc>
          <w:tcPr>
            <w:tcW w:w="783" w:type="dxa"/>
            <w:vAlign w:val="center"/>
          </w:tcPr>
          <w:p>
            <w:pPr>
              <w:widowControl/>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学历</w:t>
            </w:r>
          </w:p>
        </w:tc>
        <w:tc>
          <w:tcPr>
            <w:tcW w:w="783" w:type="dxa"/>
            <w:vAlign w:val="center"/>
          </w:tcPr>
          <w:p>
            <w:pPr>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学位</w:t>
            </w:r>
          </w:p>
        </w:tc>
        <w:tc>
          <w:tcPr>
            <w:tcW w:w="1762" w:type="dxa"/>
            <w:vAlign w:val="center"/>
          </w:tcPr>
          <w:p>
            <w:pPr>
              <w:widowControl/>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现从事专业</w:t>
            </w:r>
          </w:p>
        </w:tc>
        <w:tc>
          <w:tcPr>
            <w:tcW w:w="3527" w:type="dxa"/>
            <w:vAlign w:val="center"/>
          </w:tcPr>
          <w:p>
            <w:pPr>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084" w:type="dxa"/>
            <w:gridSpan w:val="12"/>
            <w:vAlign w:val="center"/>
          </w:tcPr>
          <w:p>
            <w:pPr>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pPr>
              <w:jc w:val="center"/>
              <w:rPr>
                <w:rFonts w:asci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w:t>
            </w:r>
          </w:p>
        </w:tc>
        <w:tc>
          <w:tcPr>
            <w:tcW w:w="1180" w:type="dxa"/>
            <w:vAlign w:val="center"/>
          </w:tcPr>
          <w:p>
            <w:pPr>
              <w:rPr>
                <w:rFonts w:ascii="宋体"/>
                <w:bCs/>
                <w:color w:val="000000" w:themeColor="text1"/>
                <w14:textFill>
                  <w14:solidFill>
                    <w14:schemeClr w14:val="tx1"/>
                  </w14:solidFill>
                </w14:textFill>
              </w:rPr>
            </w:pPr>
          </w:p>
        </w:tc>
        <w:tc>
          <w:tcPr>
            <w:tcW w:w="733" w:type="dxa"/>
            <w:vAlign w:val="center"/>
          </w:tcPr>
          <w:p>
            <w:pPr>
              <w:rPr>
                <w:rFonts w:ascii="宋体"/>
                <w:bCs/>
                <w:color w:val="000000" w:themeColor="text1"/>
                <w14:textFill>
                  <w14:solidFill>
                    <w14:schemeClr w14:val="tx1"/>
                  </w14:solidFill>
                </w14:textFill>
              </w:rPr>
            </w:pPr>
          </w:p>
        </w:tc>
        <w:tc>
          <w:tcPr>
            <w:tcW w:w="708" w:type="dxa"/>
            <w:vAlign w:val="center"/>
          </w:tcPr>
          <w:p>
            <w:pPr>
              <w:rPr>
                <w:rFonts w:ascii="宋体"/>
                <w:bCs/>
                <w:color w:val="000000" w:themeColor="text1"/>
                <w14:textFill>
                  <w14:solidFill>
                    <w14:schemeClr w14:val="tx1"/>
                  </w14:solidFill>
                </w14:textFill>
              </w:rPr>
            </w:pPr>
          </w:p>
        </w:tc>
        <w:tc>
          <w:tcPr>
            <w:tcW w:w="2084" w:type="dxa"/>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979"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3527" w:type="dxa"/>
            <w:vAlign w:val="center"/>
          </w:tcPr>
          <w:p>
            <w:pPr>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56" w:type="dxa"/>
            <w:gridSpan w:val="2"/>
            <w:vAlign w:val="center"/>
          </w:tcPr>
          <w:p>
            <w:pP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主要成就、发明及获奖情况</w:t>
            </w:r>
          </w:p>
        </w:tc>
        <w:tc>
          <w:tcPr>
            <w:tcW w:w="13128" w:type="dxa"/>
            <w:gridSpan w:val="10"/>
          </w:tcPr>
          <w:p>
            <w:pPr>
              <w:rPr>
                <w:rFonts w:ascii="宋体"/>
                <w:bCs/>
                <w:color w:val="000000" w:themeColor="text1"/>
                <w14:textFill>
                  <w14:solidFill>
                    <w14:schemeClr w14:val="tx1"/>
                  </w14:solidFill>
                </w14:textFill>
              </w:rPr>
            </w:pPr>
          </w:p>
          <w:p>
            <w:pPr>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084" w:type="dxa"/>
            <w:gridSpan w:val="12"/>
            <w:vAlign w:val="center"/>
          </w:tcPr>
          <w:p>
            <w:pPr>
              <w:jc w:val="center"/>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p>
        </w:tc>
        <w:tc>
          <w:tcPr>
            <w:tcW w:w="1180" w:type="dxa"/>
            <w:vAlign w:val="center"/>
          </w:tcPr>
          <w:p>
            <w:pPr>
              <w:rPr>
                <w:rFonts w:ascii="宋体"/>
                <w:bCs/>
                <w:color w:val="000000" w:themeColor="text1"/>
                <w14:textFill>
                  <w14:solidFill>
                    <w14:schemeClr w14:val="tx1"/>
                  </w14:solidFill>
                </w14:textFill>
              </w:rPr>
            </w:pPr>
          </w:p>
        </w:tc>
        <w:tc>
          <w:tcPr>
            <w:tcW w:w="733" w:type="dxa"/>
            <w:vAlign w:val="center"/>
          </w:tcPr>
          <w:p>
            <w:pPr>
              <w:rPr>
                <w:rFonts w:ascii="宋体"/>
                <w:bCs/>
                <w:color w:val="000000" w:themeColor="text1"/>
                <w14:textFill>
                  <w14:solidFill>
                    <w14:schemeClr w14:val="tx1"/>
                  </w14:solidFill>
                </w14:textFill>
              </w:rPr>
            </w:pPr>
          </w:p>
        </w:tc>
        <w:tc>
          <w:tcPr>
            <w:tcW w:w="708" w:type="dxa"/>
            <w:vAlign w:val="center"/>
          </w:tcPr>
          <w:p>
            <w:pPr>
              <w:rPr>
                <w:rFonts w:ascii="宋体"/>
                <w:bCs/>
                <w:color w:val="000000" w:themeColor="text1"/>
                <w14:textFill>
                  <w14:solidFill>
                    <w14:schemeClr w14:val="tx1"/>
                  </w14:solidFill>
                </w14:textFill>
              </w:rPr>
            </w:pPr>
          </w:p>
        </w:tc>
        <w:tc>
          <w:tcPr>
            <w:tcW w:w="2084" w:type="dxa"/>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979"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3527" w:type="dxa"/>
            <w:vAlign w:val="center"/>
          </w:tcPr>
          <w:p>
            <w:pPr>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p>
        </w:tc>
        <w:tc>
          <w:tcPr>
            <w:tcW w:w="1180" w:type="dxa"/>
            <w:vAlign w:val="center"/>
          </w:tcPr>
          <w:p>
            <w:pPr>
              <w:rPr>
                <w:rFonts w:ascii="宋体"/>
                <w:bCs/>
                <w:color w:val="000000" w:themeColor="text1"/>
                <w14:textFill>
                  <w14:solidFill>
                    <w14:schemeClr w14:val="tx1"/>
                  </w14:solidFill>
                </w14:textFill>
              </w:rPr>
            </w:pPr>
          </w:p>
        </w:tc>
        <w:tc>
          <w:tcPr>
            <w:tcW w:w="733" w:type="dxa"/>
            <w:vAlign w:val="center"/>
          </w:tcPr>
          <w:p>
            <w:pPr>
              <w:rPr>
                <w:rFonts w:ascii="宋体"/>
                <w:bCs/>
                <w:color w:val="000000" w:themeColor="text1"/>
                <w14:textFill>
                  <w14:solidFill>
                    <w14:schemeClr w14:val="tx1"/>
                  </w14:solidFill>
                </w14:textFill>
              </w:rPr>
            </w:pPr>
          </w:p>
        </w:tc>
        <w:tc>
          <w:tcPr>
            <w:tcW w:w="708" w:type="dxa"/>
            <w:vAlign w:val="center"/>
          </w:tcPr>
          <w:p>
            <w:pPr>
              <w:rPr>
                <w:rFonts w:ascii="宋体"/>
                <w:bCs/>
                <w:color w:val="000000" w:themeColor="text1"/>
                <w14:textFill>
                  <w14:solidFill>
                    <w14:schemeClr w14:val="tx1"/>
                  </w14:solidFill>
                </w14:textFill>
              </w:rPr>
            </w:pPr>
          </w:p>
        </w:tc>
        <w:tc>
          <w:tcPr>
            <w:tcW w:w="2084" w:type="dxa"/>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979"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3527" w:type="dxa"/>
            <w:vAlign w:val="center"/>
          </w:tcPr>
          <w:p>
            <w:pPr>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4</w:t>
            </w:r>
          </w:p>
        </w:tc>
        <w:tc>
          <w:tcPr>
            <w:tcW w:w="1180" w:type="dxa"/>
            <w:vAlign w:val="center"/>
          </w:tcPr>
          <w:p>
            <w:pPr>
              <w:rPr>
                <w:rFonts w:ascii="宋体"/>
                <w:bCs/>
                <w:color w:val="000000" w:themeColor="text1"/>
                <w14:textFill>
                  <w14:solidFill>
                    <w14:schemeClr w14:val="tx1"/>
                  </w14:solidFill>
                </w14:textFill>
              </w:rPr>
            </w:pPr>
          </w:p>
        </w:tc>
        <w:tc>
          <w:tcPr>
            <w:tcW w:w="733" w:type="dxa"/>
            <w:vAlign w:val="center"/>
          </w:tcPr>
          <w:p>
            <w:pPr>
              <w:rPr>
                <w:rFonts w:ascii="宋体"/>
                <w:bCs/>
                <w:color w:val="000000" w:themeColor="text1"/>
                <w14:textFill>
                  <w14:solidFill>
                    <w14:schemeClr w14:val="tx1"/>
                  </w14:solidFill>
                </w14:textFill>
              </w:rPr>
            </w:pPr>
          </w:p>
        </w:tc>
        <w:tc>
          <w:tcPr>
            <w:tcW w:w="708" w:type="dxa"/>
            <w:vAlign w:val="center"/>
          </w:tcPr>
          <w:p>
            <w:pPr>
              <w:rPr>
                <w:rFonts w:ascii="宋体"/>
                <w:bCs/>
                <w:color w:val="000000" w:themeColor="text1"/>
                <w14:textFill>
                  <w14:solidFill>
                    <w14:schemeClr w14:val="tx1"/>
                  </w14:solidFill>
                </w14:textFill>
              </w:rPr>
            </w:pPr>
          </w:p>
        </w:tc>
        <w:tc>
          <w:tcPr>
            <w:tcW w:w="2084" w:type="dxa"/>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979"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3527" w:type="dxa"/>
            <w:vAlign w:val="center"/>
          </w:tcPr>
          <w:p>
            <w:pPr>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w:t>
            </w:r>
          </w:p>
        </w:tc>
        <w:tc>
          <w:tcPr>
            <w:tcW w:w="1180" w:type="dxa"/>
            <w:vAlign w:val="center"/>
          </w:tcPr>
          <w:p>
            <w:pPr>
              <w:rPr>
                <w:rFonts w:ascii="宋体"/>
                <w:bCs/>
                <w:color w:val="000000" w:themeColor="text1"/>
                <w14:textFill>
                  <w14:solidFill>
                    <w14:schemeClr w14:val="tx1"/>
                  </w14:solidFill>
                </w14:textFill>
              </w:rPr>
            </w:pPr>
          </w:p>
        </w:tc>
        <w:tc>
          <w:tcPr>
            <w:tcW w:w="733" w:type="dxa"/>
            <w:vAlign w:val="center"/>
          </w:tcPr>
          <w:p>
            <w:pPr>
              <w:rPr>
                <w:rFonts w:ascii="宋体"/>
                <w:bCs/>
                <w:color w:val="000000" w:themeColor="text1"/>
                <w14:textFill>
                  <w14:solidFill>
                    <w14:schemeClr w14:val="tx1"/>
                  </w14:solidFill>
                </w14:textFill>
              </w:rPr>
            </w:pPr>
          </w:p>
        </w:tc>
        <w:tc>
          <w:tcPr>
            <w:tcW w:w="708" w:type="dxa"/>
            <w:vAlign w:val="center"/>
          </w:tcPr>
          <w:p>
            <w:pPr>
              <w:rPr>
                <w:rFonts w:ascii="宋体"/>
                <w:bCs/>
                <w:color w:val="000000" w:themeColor="text1"/>
                <w14:textFill>
                  <w14:solidFill>
                    <w14:schemeClr w14:val="tx1"/>
                  </w14:solidFill>
                </w14:textFill>
              </w:rPr>
            </w:pPr>
          </w:p>
        </w:tc>
        <w:tc>
          <w:tcPr>
            <w:tcW w:w="2084" w:type="dxa"/>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979"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3527" w:type="dxa"/>
            <w:vAlign w:val="center"/>
          </w:tcPr>
          <w:p>
            <w:pPr>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w:t>
            </w:r>
          </w:p>
        </w:tc>
        <w:tc>
          <w:tcPr>
            <w:tcW w:w="1180" w:type="dxa"/>
            <w:vAlign w:val="center"/>
          </w:tcPr>
          <w:p>
            <w:pPr>
              <w:rPr>
                <w:rFonts w:ascii="宋体"/>
                <w:bCs/>
                <w:color w:val="000000" w:themeColor="text1"/>
                <w14:textFill>
                  <w14:solidFill>
                    <w14:schemeClr w14:val="tx1"/>
                  </w14:solidFill>
                </w14:textFill>
              </w:rPr>
            </w:pPr>
          </w:p>
        </w:tc>
        <w:tc>
          <w:tcPr>
            <w:tcW w:w="733" w:type="dxa"/>
            <w:vAlign w:val="center"/>
          </w:tcPr>
          <w:p>
            <w:pPr>
              <w:rPr>
                <w:rFonts w:ascii="宋体"/>
                <w:bCs/>
                <w:color w:val="000000" w:themeColor="text1"/>
                <w14:textFill>
                  <w14:solidFill>
                    <w14:schemeClr w14:val="tx1"/>
                  </w14:solidFill>
                </w14:textFill>
              </w:rPr>
            </w:pPr>
          </w:p>
        </w:tc>
        <w:tc>
          <w:tcPr>
            <w:tcW w:w="708" w:type="dxa"/>
            <w:vAlign w:val="center"/>
          </w:tcPr>
          <w:p>
            <w:pPr>
              <w:rPr>
                <w:rFonts w:ascii="宋体"/>
                <w:bCs/>
                <w:color w:val="000000" w:themeColor="text1"/>
                <w14:textFill>
                  <w14:solidFill>
                    <w14:schemeClr w14:val="tx1"/>
                  </w14:solidFill>
                </w14:textFill>
              </w:rPr>
            </w:pPr>
          </w:p>
        </w:tc>
        <w:tc>
          <w:tcPr>
            <w:tcW w:w="2084" w:type="dxa"/>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979"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783" w:type="dxa"/>
            <w:vAlign w:val="center"/>
          </w:tcPr>
          <w:p>
            <w:pPr>
              <w:rPr>
                <w:rFonts w:ascii="宋体"/>
                <w:bCs/>
                <w:color w:val="000000" w:themeColor="text1"/>
                <w14:textFill>
                  <w14:solidFill>
                    <w14:schemeClr w14:val="tx1"/>
                  </w14:solidFill>
                </w14:textFill>
              </w:rPr>
            </w:pPr>
          </w:p>
        </w:tc>
        <w:tc>
          <w:tcPr>
            <w:tcW w:w="1762" w:type="dxa"/>
            <w:vAlign w:val="center"/>
          </w:tcPr>
          <w:p>
            <w:pPr>
              <w:rPr>
                <w:rFonts w:ascii="宋体"/>
                <w:bCs/>
                <w:color w:val="000000" w:themeColor="text1"/>
                <w14:textFill>
                  <w14:solidFill>
                    <w14:schemeClr w14:val="tx1"/>
                  </w14:solidFill>
                </w14:textFill>
              </w:rPr>
            </w:pPr>
          </w:p>
        </w:tc>
        <w:tc>
          <w:tcPr>
            <w:tcW w:w="3527" w:type="dxa"/>
            <w:vAlign w:val="center"/>
          </w:tcPr>
          <w:p>
            <w:pPr>
              <w:rPr>
                <w:rFonts w:asci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99" w:hRule="atLeast"/>
          <w:jc w:val="center"/>
        </w:trPr>
        <w:tc>
          <w:tcPr>
            <w:tcW w:w="15077" w:type="dxa"/>
            <w:gridSpan w:val="11"/>
            <w:vAlign w:val="center"/>
          </w:tcPr>
          <w:p>
            <w:pPr>
              <w:rPr>
                <w:rFonts w:ascii="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注：科研助理应在“参与方式”中进行标注。</w:t>
            </w:r>
          </w:p>
        </w:tc>
      </w:tr>
    </w:tbl>
    <w:p>
      <w:pPr>
        <w:spacing w:line="360" w:lineRule="auto"/>
        <w:ind w:firstLine="315" w:firstLineChars="150"/>
        <w:rPr>
          <w:rFonts w:ascii="宋体" w:hAnsi="宋体"/>
          <w:bCs/>
          <w:color w:val="000000" w:themeColor="text1"/>
          <w14:textFill>
            <w14:solidFill>
              <w14:schemeClr w14:val="tx1"/>
            </w14:solidFill>
          </w14:textFill>
        </w:rPr>
      </w:pPr>
    </w:p>
    <w:p>
      <w:pPr>
        <w:spacing w:line="360" w:lineRule="auto"/>
        <w:ind w:firstLine="315" w:firstLineChars="150"/>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十三、经费预算</w:t>
      </w:r>
      <w:r>
        <w:rPr>
          <w:rFonts w:hint="eastAsia" w:ascii="宋体" w:hAnsi="宋体"/>
          <w:bCs/>
          <w:color w:val="000000" w:themeColor="text1"/>
          <w:sz w:val="18"/>
          <w:szCs w:val="18"/>
          <w14:textFill>
            <w14:solidFill>
              <w14:schemeClr w14:val="tx1"/>
            </w14:solidFill>
          </w14:textFill>
        </w:rPr>
        <w:t>（单位：万元）</w:t>
      </w:r>
    </w:p>
    <w:tbl>
      <w:tblPr>
        <w:tblStyle w:val="9"/>
        <w:tblW w:w="13998" w:type="dxa"/>
        <w:jc w:val="center"/>
        <w:tblLayout w:type="fixed"/>
        <w:tblCellMar>
          <w:top w:w="0" w:type="dxa"/>
          <w:left w:w="0" w:type="dxa"/>
          <w:bottom w:w="0" w:type="dxa"/>
          <w:right w:w="0" w:type="dxa"/>
        </w:tblCellMar>
      </w:tblPr>
      <w:tblGrid>
        <w:gridCol w:w="2243"/>
        <w:gridCol w:w="1512"/>
        <w:gridCol w:w="2875"/>
        <w:gridCol w:w="7368"/>
      </w:tblGrid>
      <w:tr>
        <w:tblPrEx>
          <w:tblCellMar>
            <w:top w:w="0" w:type="dxa"/>
            <w:left w:w="0" w:type="dxa"/>
            <w:bottom w:w="0" w:type="dxa"/>
            <w:right w:w="0" w:type="dxa"/>
          </w:tblCellMar>
        </w:tblPrEx>
        <w:trPr>
          <w:cantSplit/>
          <w:trHeight w:val="387"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预算科目名称</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专项经费</w:t>
            </w:r>
          </w:p>
        </w:tc>
        <w:tc>
          <w:tcPr>
            <w:tcW w:w="2875" w:type="dxa"/>
            <w:tcBorders>
              <w:top w:val="single" w:color="auto" w:sz="8" w:space="0"/>
              <w:left w:val="single" w:color="auto" w:sz="8" w:space="0"/>
              <w:bottom w:val="single" w:color="auto" w:sz="8" w:space="0"/>
              <w:right w:val="single" w:color="auto" w:sz="4" w:space="0"/>
            </w:tcBorders>
            <w:vAlign w:val="center"/>
          </w:tcPr>
          <w:p>
            <w:pPr>
              <w:widowControl/>
              <w:ind w:left="-105" w:leftChars="-50" w:right="-105" w:rightChars="-50"/>
              <w:jc w:val="center"/>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基本测算说明</w:t>
            </w:r>
          </w:p>
        </w:tc>
        <w:tc>
          <w:tcPr>
            <w:tcW w:w="7368" w:type="dxa"/>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宋体"/>
                <w:bCs/>
                <w:color w:val="000000" w:themeColor="text1"/>
                <w:kern w:val="0"/>
                <w:szCs w:val="21"/>
                <w14:textFill>
                  <w14:solidFill>
                    <w14:schemeClr w14:val="tx1"/>
                  </w14:solidFill>
                </w14:textFill>
              </w:rPr>
            </w:pPr>
            <w:r>
              <w:rPr>
                <w:rFonts w:hint="eastAsia" w:ascii="宋体"/>
                <w:bCs/>
                <w:color w:val="000000" w:themeColor="text1"/>
                <w:kern w:val="0"/>
                <w:szCs w:val="21"/>
                <w14:textFill>
                  <w14:solidFill>
                    <w14:schemeClr w14:val="tx1"/>
                  </w14:solidFill>
                </w14:textFill>
              </w:rPr>
              <w:t>备注</w:t>
            </w:r>
          </w:p>
        </w:tc>
      </w:tr>
      <w:tr>
        <w:tblPrEx>
          <w:tblCellMar>
            <w:top w:w="0" w:type="dxa"/>
            <w:left w:w="0" w:type="dxa"/>
            <w:bottom w:w="0" w:type="dxa"/>
            <w:right w:w="0" w:type="dxa"/>
          </w:tblCellMar>
        </w:tblPrEx>
        <w:trPr>
          <w:cantSplit/>
          <w:trHeight w:val="973"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Cs/>
                <w:color w:val="000000" w:themeColor="text1"/>
                <w:kern w:val="0"/>
                <w:szCs w:val="21"/>
                <w14:textFill>
                  <w14:solidFill>
                    <w14:schemeClr w14:val="tx1"/>
                  </w14:solidFill>
                </w14:textFill>
              </w:rPr>
            </w:pPr>
            <w:r>
              <w:rPr>
                <w:rFonts w:hint="eastAsia" w:ascii="仿宋_GB2312" w:hAnsi="宋体" w:eastAsia="仿宋_GB2312"/>
                <w:bCs/>
                <w:color w:val="000000" w:themeColor="text1"/>
                <w:kern w:val="0"/>
                <w:szCs w:val="21"/>
                <w14:textFill>
                  <w14:solidFill>
                    <w14:schemeClr w14:val="tx1"/>
                  </w14:solidFill>
                </w14:textFill>
              </w:rPr>
              <w:t>合计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pStyle w:val="3"/>
              <w:ind w:left="0" w:leftChars="0"/>
              <w:rPr>
                <w:rFonts w:ascii="仿宋_GB2312" w:eastAsia="仿宋_GB2312"/>
                <w:bCs/>
                <w:color w:val="000000" w:themeColor="text1"/>
                <w:kern w:val="0"/>
                <w:sz w:val="21"/>
                <w:szCs w:val="21"/>
                <w14:textFill>
                  <w14:solidFill>
                    <w14:schemeClr w14:val="tx1"/>
                  </w14:solidFill>
                </w14:textFill>
              </w:rPr>
            </w:pPr>
            <w:r>
              <w:rPr>
                <w:rFonts w:hint="eastAsia" w:ascii="仿宋_GB2312" w:hAnsi="宋体" w:eastAsia="仿宋_GB2312"/>
                <w:bCs/>
                <w:color w:val="000000" w:themeColor="text1"/>
                <w:kern w:val="0"/>
                <w:sz w:val="21"/>
                <w:szCs w:val="21"/>
                <w14:textFill>
                  <w14:solidFill>
                    <w14:schemeClr w14:val="tx1"/>
                  </w14:solidFill>
                </w14:textFill>
              </w:rPr>
              <w:t>对各科目支出主要用途、与项目实施的相关性、必要性及测算理由进行说明。</w:t>
            </w:r>
          </w:p>
        </w:tc>
        <w:tc>
          <w:tcPr>
            <w:tcW w:w="7368" w:type="dxa"/>
            <w:tcBorders>
              <w:top w:val="single" w:color="auto" w:sz="8" w:space="0"/>
              <w:left w:val="single" w:color="auto" w:sz="4" w:space="0"/>
              <w:bottom w:val="single" w:color="auto" w:sz="8" w:space="0"/>
              <w:right w:val="single" w:color="auto" w:sz="8" w:space="0"/>
            </w:tcBorders>
          </w:tcPr>
          <w:p>
            <w:pPr>
              <w:widowControl/>
              <w:jc w:val="center"/>
              <w:rPr>
                <w:rFonts w:ascii="仿宋_GB2312" w:eastAsia="仿宋_GB2312"/>
                <w:bCs/>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cantSplit/>
          <w:trHeight w:val="662"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bCs/>
                <w:color w:val="000000" w:themeColor="text1"/>
                <w:kern w:val="0"/>
                <w:szCs w:val="21"/>
                <w14:textFill>
                  <w14:solidFill>
                    <w14:schemeClr w14:val="tx1"/>
                  </w14:solidFill>
                </w14:textFill>
              </w:rPr>
            </w:pPr>
            <w:r>
              <w:rPr>
                <w:rFonts w:hint="eastAsia" w:ascii="仿宋_GB2312" w:hAnsi="宋体" w:eastAsia="仿宋_GB2312"/>
                <w:bCs/>
                <w:color w:val="000000" w:themeColor="text1"/>
                <w:kern w:val="0"/>
                <w:szCs w:val="21"/>
                <w14:textFill>
                  <w14:solidFill>
                    <w14:schemeClr w14:val="tx1"/>
                  </w14:solidFill>
                </w14:textFill>
              </w:rPr>
              <w:t>（一）直接费用小计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pStyle w:val="3"/>
              <w:ind w:left="0" w:leftChars="0"/>
              <w:rPr>
                <w:rFonts w:ascii="仿宋_GB2312" w:eastAsia="仿宋_GB2312"/>
                <w:bCs/>
                <w:color w:val="000000" w:themeColor="text1"/>
                <w:kern w:val="0"/>
                <w:sz w:val="21"/>
                <w:szCs w:val="21"/>
                <w14:textFill>
                  <w14:solidFill>
                    <w14:schemeClr w14:val="tx1"/>
                  </w14:solidFill>
                </w14:textFill>
              </w:rPr>
            </w:pPr>
            <w:r>
              <w:rPr>
                <w:rFonts w:hint="eastAsia" w:ascii="仿宋_GB2312" w:hAnsi="宋体" w:eastAsia="仿宋_GB2312"/>
                <w:bCs/>
                <w:color w:val="000000" w:themeColor="text1"/>
                <w:kern w:val="0"/>
                <w:sz w:val="21"/>
                <w:szCs w:val="21"/>
                <w14:textFill>
                  <w14:solidFill>
                    <w14:schemeClr w14:val="tx1"/>
                  </w14:solidFill>
                </w14:textFill>
              </w:rPr>
              <w:t>直接费用中除</w:t>
            </w:r>
            <w:r>
              <w:rPr>
                <w:rFonts w:ascii="仿宋_GB2312" w:hAnsi="宋体" w:eastAsia="仿宋_GB2312"/>
                <w:bCs/>
                <w:color w:val="000000" w:themeColor="text1"/>
                <w:kern w:val="0"/>
                <w:sz w:val="21"/>
                <w:szCs w:val="21"/>
                <w14:textFill>
                  <w14:solidFill>
                    <w14:schemeClr w14:val="tx1"/>
                  </w14:solidFill>
                </w14:textFill>
              </w:rPr>
              <w:t>50</w:t>
            </w:r>
            <w:r>
              <w:rPr>
                <w:rFonts w:hint="eastAsia" w:ascii="仿宋_GB2312" w:hAnsi="宋体" w:eastAsia="仿宋_GB2312"/>
                <w:bCs/>
                <w:color w:val="000000" w:themeColor="text1"/>
                <w:kern w:val="0"/>
                <w:sz w:val="21"/>
                <w:szCs w:val="21"/>
                <w14:textFill>
                  <w14:solidFill>
                    <w14:schemeClr w14:val="tx1"/>
                  </w14:solidFill>
                </w14:textFill>
              </w:rPr>
              <w:t>万元以上的设备费外，其他费用只提供基本测算说明，不需要提供明细。</w:t>
            </w:r>
          </w:p>
          <w:p>
            <w:pPr>
              <w:widowControl/>
              <w:jc w:val="center"/>
              <w:rPr>
                <w:rFonts w:ascii="仿宋_GB2312" w:eastAsia="仿宋_GB2312"/>
                <w:bCs/>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cantSplit/>
          <w:trHeight w:val="1261" w:hRule="exact"/>
          <w:jc w:val="center"/>
        </w:trPr>
        <w:tc>
          <w:tcPr>
            <w:tcW w:w="2243" w:type="dxa"/>
            <w:tcBorders>
              <w:top w:val="single" w:color="auto" w:sz="8" w:space="0"/>
              <w:left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Cs/>
                <w:color w:val="000000" w:themeColor="text1"/>
                <w:kern w:val="0"/>
                <w:szCs w:val="21"/>
                <w14:textFill>
                  <w14:solidFill>
                    <w14:schemeClr w14:val="tx1"/>
                  </w14:solidFill>
                </w14:textFill>
              </w:rPr>
            </w:pPr>
            <w:r>
              <w:rPr>
                <w:rFonts w:hint="eastAsia" w:ascii="仿宋_GB2312" w:hAnsi="宋体" w:eastAsia="仿宋_GB2312"/>
                <w:bCs/>
                <w:color w:val="000000" w:themeColor="text1"/>
                <w:kern w:val="0"/>
                <w:szCs w:val="21"/>
                <w14:textFill>
                  <w14:solidFill>
                    <w14:schemeClr w14:val="tx1"/>
                  </w14:solidFill>
                </w14:textFill>
              </w:rPr>
              <w:t>1.设备费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nil"/>
              <w:right w:val="single" w:color="auto" w:sz="4" w:space="0"/>
            </w:tcBorders>
          </w:tcPr>
          <w:p>
            <w:pPr>
              <w:widowControl/>
              <w:jc w:val="center"/>
              <w:rPr>
                <w:rFonts w:ascii="仿宋_GB2312" w:eastAsia="仿宋_GB2312"/>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nil"/>
              <w:right w:val="single" w:color="auto" w:sz="8" w:space="0"/>
            </w:tcBorders>
            <w:vAlign w:val="center"/>
          </w:tcPr>
          <w:p>
            <w:pPr>
              <w:pStyle w:val="3"/>
              <w:ind w:left="0" w:leftChars="0"/>
              <w:rPr>
                <w:rFonts w:ascii="仿宋_GB2312" w:eastAsia="仿宋_GB2312"/>
                <w:bCs/>
                <w:color w:val="000000" w:themeColor="text1"/>
                <w:kern w:val="0"/>
                <w:sz w:val="21"/>
                <w:szCs w:val="21"/>
                <w14:textFill>
                  <w14:solidFill>
                    <w14:schemeClr w14:val="tx1"/>
                  </w14:solidFill>
                </w14:textFill>
              </w:rPr>
            </w:pPr>
            <w:r>
              <w:rPr>
                <w:rFonts w:hint="eastAsia" w:ascii="仿宋_GB2312" w:hAnsi="宋体" w:eastAsia="仿宋_GB2312"/>
                <w:bCs/>
                <w:color w:val="000000" w:themeColor="text1"/>
                <w:kern w:val="0"/>
                <w:sz w:val="21"/>
                <w:szCs w:val="21"/>
                <w14:textFill>
                  <w14:solidFill>
                    <w14:schemeClr w14:val="tx1"/>
                  </w14:solidFill>
                </w14:textFill>
              </w:rPr>
              <w:t>设备费主要列支项目实施过程中购置或试制专用仪器设备，对现有仪器设备进行升级改造，以及租赁外单位仪器设备而发生的费用。计算类仪器设备和软件工具可在设备费科目列支。</w:t>
            </w:r>
            <w:r>
              <w:rPr>
                <w:rFonts w:hint="eastAsia" w:ascii="仿宋_GB2312" w:hAnsi="宋体" w:eastAsia="仿宋_GB2312"/>
                <w:bCs/>
                <w:color w:val="000000" w:themeColor="text1"/>
                <w:kern w:val="0"/>
                <w:szCs w:val="21"/>
                <w14:textFill>
                  <w14:solidFill>
                    <w14:schemeClr w14:val="tx1"/>
                  </w14:solidFill>
                </w14:textFill>
              </w:rPr>
              <w:t>对50万元（含）以上的设备购置费要单独列出。</w:t>
            </w:r>
          </w:p>
        </w:tc>
      </w:tr>
      <w:tr>
        <w:tblPrEx>
          <w:tblCellMar>
            <w:top w:w="0" w:type="dxa"/>
            <w:left w:w="0" w:type="dxa"/>
            <w:bottom w:w="0" w:type="dxa"/>
            <w:right w:w="0" w:type="dxa"/>
          </w:tblCellMar>
        </w:tblPrEx>
        <w:trPr>
          <w:cantSplit/>
          <w:trHeight w:val="1214"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Cs/>
                <w:color w:val="000000" w:themeColor="text1"/>
                <w:kern w:val="0"/>
                <w:szCs w:val="21"/>
                <w14:textFill>
                  <w14:solidFill>
                    <w14:schemeClr w14:val="tx1"/>
                  </w14:solidFill>
                </w14:textFill>
              </w:rPr>
            </w:pPr>
            <w:r>
              <w:rPr>
                <w:rFonts w:hint="eastAsia" w:ascii="仿宋_GB2312" w:hAnsi="宋体" w:eastAsia="仿宋_GB2312"/>
                <w:bCs/>
                <w:color w:val="000000" w:themeColor="text1"/>
                <w:kern w:val="0"/>
                <w:szCs w:val="21"/>
                <w14:textFill>
                  <w14:solidFill>
                    <w14:schemeClr w14:val="tx1"/>
                  </w14:solidFill>
                </w14:textFill>
              </w:rPr>
              <w:t>2.业务费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Cs/>
                <w:color w:val="000000" w:themeColor="text1"/>
                <w:kern w:val="0"/>
                <w:szCs w:val="21"/>
                <w14:textFill>
                  <w14:solidFill>
                    <w14:schemeClr w14:val="tx1"/>
                  </w14:solidFill>
                </w14:textFill>
              </w:rPr>
            </w:pPr>
            <w:r>
              <w:rPr>
                <w:rFonts w:hint="eastAsia" w:ascii="仿宋_GB2312" w:hAnsi="宋体" w:eastAsia="仿宋_GB2312"/>
                <w:bCs/>
                <w:color w:val="000000" w:themeColor="text1"/>
                <w:kern w:val="0"/>
                <w:szCs w:val="21"/>
                <w14:textFill>
                  <w14:solidFill>
                    <w14:schemeClr w14:val="tx1"/>
                  </w14:solidFill>
                </w14:textFill>
              </w:rPr>
              <w:t>业务费主要列支项目实施过程中消耗的各种材料、辅助材料等低值易耗品的采购、运输、装卸、整理等费用，发生的测试化验加工、燃料动力、出版</w:t>
            </w:r>
            <w:r>
              <w:rPr>
                <w:rFonts w:ascii="仿宋_GB2312" w:hAnsi="宋体" w:eastAsia="仿宋_GB2312"/>
                <w:bCs/>
                <w:color w:val="000000" w:themeColor="text1"/>
                <w:kern w:val="0"/>
                <w:szCs w:val="21"/>
                <w14:textFill>
                  <w14:solidFill>
                    <w14:schemeClr w14:val="tx1"/>
                  </w14:solidFill>
                </w14:textFill>
              </w:rPr>
              <w:t>/</w:t>
            </w:r>
            <w:r>
              <w:rPr>
                <w:rFonts w:hint="eastAsia" w:ascii="仿宋_GB2312" w:hAnsi="宋体" w:eastAsia="仿宋_GB2312"/>
                <w:bCs/>
                <w:color w:val="000000" w:themeColor="text1"/>
                <w:kern w:val="0"/>
                <w:szCs w:val="21"/>
                <w14:textFill>
                  <w14:solidFill>
                    <w14:schemeClr w14:val="tx1"/>
                  </w14:solidFill>
                </w14:textFill>
              </w:rPr>
              <w:t>文献</w:t>
            </w:r>
            <w:r>
              <w:rPr>
                <w:rFonts w:ascii="仿宋_GB2312" w:hAnsi="宋体" w:eastAsia="仿宋_GB2312"/>
                <w:bCs/>
                <w:color w:val="000000" w:themeColor="text1"/>
                <w:kern w:val="0"/>
                <w:szCs w:val="21"/>
                <w14:textFill>
                  <w14:solidFill>
                    <w14:schemeClr w14:val="tx1"/>
                  </w14:solidFill>
                </w14:textFill>
              </w:rPr>
              <w:t>/</w:t>
            </w:r>
            <w:r>
              <w:rPr>
                <w:rFonts w:hint="eastAsia" w:ascii="仿宋_GB2312" w:hAnsi="宋体" w:eastAsia="仿宋_GB2312"/>
                <w:bCs/>
                <w:color w:val="000000" w:themeColor="text1"/>
                <w:kern w:val="0"/>
                <w:szCs w:val="21"/>
                <w14:textFill>
                  <w14:solidFill>
                    <w14:schemeClr w14:val="tx1"/>
                  </w14:solidFill>
                </w14:textFill>
              </w:rPr>
              <w:t>信息传播</w:t>
            </w:r>
            <w:r>
              <w:rPr>
                <w:rFonts w:ascii="仿宋_GB2312" w:hAnsi="宋体" w:eastAsia="仿宋_GB2312"/>
                <w:bCs/>
                <w:color w:val="000000" w:themeColor="text1"/>
                <w:kern w:val="0"/>
                <w:szCs w:val="21"/>
                <w14:textFill>
                  <w14:solidFill>
                    <w14:schemeClr w14:val="tx1"/>
                  </w14:solidFill>
                </w14:textFill>
              </w:rPr>
              <w:t>/</w:t>
            </w:r>
            <w:r>
              <w:rPr>
                <w:rFonts w:hint="eastAsia" w:ascii="仿宋_GB2312" w:hAnsi="宋体" w:eastAsia="仿宋_GB2312"/>
                <w:bCs/>
                <w:color w:val="000000" w:themeColor="text1"/>
                <w:kern w:val="0"/>
                <w:szCs w:val="21"/>
                <w14:textFill>
                  <w14:solidFill>
                    <w14:schemeClr w14:val="tx1"/>
                  </w14:solidFill>
                </w14:textFill>
              </w:rPr>
              <w:t>知识产权事务、会议</w:t>
            </w:r>
            <w:r>
              <w:rPr>
                <w:rFonts w:ascii="仿宋_GB2312" w:hAnsi="宋体" w:eastAsia="仿宋_GB2312"/>
                <w:bCs/>
                <w:color w:val="000000" w:themeColor="text1"/>
                <w:kern w:val="0"/>
                <w:szCs w:val="21"/>
                <w14:textFill>
                  <w14:solidFill>
                    <w14:schemeClr w14:val="tx1"/>
                  </w14:solidFill>
                </w14:textFill>
              </w:rPr>
              <w:t>/</w:t>
            </w:r>
            <w:r>
              <w:rPr>
                <w:rFonts w:hint="eastAsia" w:ascii="仿宋_GB2312" w:hAnsi="宋体" w:eastAsia="仿宋_GB2312"/>
                <w:bCs/>
                <w:color w:val="000000" w:themeColor="text1"/>
                <w:kern w:val="0"/>
                <w:szCs w:val="21"/>
                <w14:textFill>
                  <w14:solidFill>
                    <w14:schemeClr w14:val="tx1"/>
                  </w14:solidFill>
                </w14:textFill>
              </w:rPr>
              <w:t>差旅</w:t>
            </w:r>
            <w:r>
              <w:rPr>
                <w:rFonts w:ascii="仿宋_GB2312" w:hAnsi="宋体" w:eastAsia="仿宋_GB2312"/>
                <w:bCs/>
                <w:color w:val="000000" w:themeColor="text1"/>
                <w:kern w:val="0"/>
                <w:szCs w:val="21"/>
                <w14:textFill>
                  <w14:solidFill>
                    <w14:schemeClr w14:val="tx1"/>
                  </w14:solidFill>
                </w14:textFill>
              </w:rPr>
              <w:t>/</w:t>
            </w:r>
            <w:r>
              <w:rPr>
                <w:rFonts w:hint="eastAsia" w:ascii="仿宋_GB2312" w:hAnsi="宋体" w:eastAsia="仿宋_GB2312"/>
                <w:bCs/>
                <w:color w:val="000000" w:themeColor="text1"/>
                <w:kern w:val="0"/>
                <w:szCs w:val="21"/>
                <w14:textFill>
                  <w14:solidFill>
                    <w14:schemeClr w14:val="tx1"/>
                  </w14:solidFill>
                </w14:textFill>
              </w:rPr>
              <w:t>国际合作交流等费用，以及其他相关支出。</w:t>
            </w:r>
          </w:p>
        </w:tc>
      </w:tr>
      <w:tr>
        <w:tblPrEx>
          <w:tblCellMar>
            <w:top w:w="0" w:type="dxa"/>
            <w:left w:w="0" w:type="dxa"/>
            <w:bottom w:w="0" w:type="dxa"/>
            <w:right w:w="0" w:type="dxa"/>
          </w:tblCellMar>
        </w:tblPrEx>
        <w:trPr>
          <w:cantSplit/>
          <w:trHeight w:val="1816"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Cs/>
                <w:color w:val="000000" w:themeColor="text1"/>
                <w:kern w:val="0"/>
                <w:szCs w:val="21"/>
                <w14:textFill>
                  <w14:solidFill>
                    <w14:schemeClr w14:val="tx1"/>
                  </w14:solidFill>
                </w14:textFill>
              </w:rPr>
            </w:pPr>
            <w:r>
              <w:rPr>
                <w:rFonts w:hint="eastAsia" w:ascii="仿宋_GB2312" w:hAnsi="宋体" w:eastAsia="仿宋_GB2312"/>
                <w:bCs/>
                <w:color w:val="000000" w:themeColor="text1"/>
                <w:kern w:val="0"/>
                <w:szCs w:val="21"/>
                <w14:textFill>
                  <w14:solidFill>
                    <w14:schemeClr w14:val="tx1"/>
                  </w14:solidFill>
                </w14:textFill>
              </w:rPr>
              <w:t>3.劳务费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Cs/>
                <w:color w:val="000000" w:themeColor="text1"/>
                <w:kern w:val="0"/>
                <w:szCs w:val="21"/>
                <w14:textFill>
                  <w14:solidFill>
                    <w14:schemeClr w14:val="tx1"/>
                  </w14:solidFill>
                </w14:textFill>
              </w:rPr>
            </w:pPr>
            <w:r>
              <w:rPr>
                <w:rFonts w:hint="eastAsia" w:ascii="仿宋_GB2312" w:hAnsi="宋体" w:eastAsia="仿宋_GB2312"/>
                <w:bCs/>
                <w:color w:val="000000" w:themeColor="text1"/>
                <w:kern w:val="0"/>
                <w:szCs w:val="21"/>
                <w14:textFill>
                  <w14:solidFill>
                    <w14:schemeClr w14:val="tx1"/>
                  </w14:solidFill>
                </w14:textFill>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CellMar>
            <w:top w:w="0" w:type="dxa"/>
            <w:left w:w="0" w:type="dxa"/>
            <w:bottom w:w="0" w:type="dxa"/>
            <w:right w:w="0" w:type="dxa"/>
          </w:tblCellMar>
        </w:tblPrEx>
        <w:trPr>
          <w:cantSplit/>
          <w:trHeight w:val="2142"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bCs/>
                <w:color w:val="000000" w:themeColor="text1"/>
                <w:kern w:val="0"/>
                <w:szCs w:val="21"/>
                <w14:textFill>
                  <w14:solidFill>
                    <w14:schemeClr w14:val="tx1"/>
                  </w14:solidFill>
                </w14:textFill>
              </w:rPr>
            </w:pPr>
            <w:r>
              <w:rPr>
                <w:rFonts w:hint="eastAsia" w:ascii="仿宋_GB2312" w:hAnsi="宋体" w:eastAsia="仿宋_GB2312"/>
                <w:bCs/>
                <w:color w:val="000000" w:themeColor="text1"/>
                <w:kern w:val="0"/>
                <w:szCs w:val="21"/>
                <w14:textFill>
                  <w14:solidFill>
                    <w14:schemeClr w14:val="tx1"/>
                  </w14:solidFill>
                </w14:textFill>
              </w:rPr>
              <w:t>（二）间接费用小计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Cs/>
                <w:color w:val="000000" w:themeColor="text1"/>
                <w:kern w:val="0"/>
                <w:szCs w:val="21"/>
                <w14:textFill>
                  <w14:solidFill>
                    <w14:schemeClr w14:val="tx1"/>
                  </w14:solidFill>
                </w14:textFill>
              </w:rPr>
            </w:pPr>
            <w:r>
              <w:rPr>
                <w:rFonts w:hint="eastAsia" w:ascii="仿宋_GB2312" w:hAnsi="宋体" w:eastAsia="仿宋_GB2312"/>
                <w:bCs/>
                <w:color w:val="000000" w:themeColor="text1"/>
                <w:kern w:val="0"/>
                <w:szCs w:val="21"/>
                <w14:textFill>
                  <w14:solidFill>
                    <w14:schemeClr w14:val="tx1"/>
                  </w14:solidFill>
                </w14:textFill>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widowControl/>
              <w:jc w:val="left"/>
              <w:rPr>
                <w:rFonts w:ascii="仿宋_GB2312" w:eastAsia="仿宋_GB2312"/>
                <w:bCs/>
                <w:color w:val="000000" w:themeColor="text1"/>
                <w:kern w:val="0"/>
                <w:szCs w:val="21"/>
                <w14:textFill>
                  <w14:solidFill>
                    <w14:schemeClr w14:val="tx1"/>
                  </w14:solidFill>
                </w14:textFill>
              </w:rPr>
            </w:pPr>
            <w:r>
              <w:rPr>
                <w:rFonts w:hint="eastAsia" w:ascii="仿宋_GB2312" w:hAnsi="宋体" w:eastAsia="仿宋_GB2312"/>
                <w:bCs/>
                <w:color w:val="000000" w:themeColor="text1"/>
                <w:kern w:val="0"/>
                <w:szCs w:val="21"/>
                <w14:textFill>
                  <w14:solidFill>
                    <w14:schemeClr w14:val="tx1"/>
                  </w14:solidFill>
                </w14:textFill>
              </w:rPr>
              <w:t>间接费用按照直接费用扣除设备购置费后的一定比例核定，</w:t>
            </w:r>
            <w:r>
              <w:rPr>
                <w:rFonts w:ascii="仿宋_GB2312" w:hAnsi="宋体" w:eastAsia="仿宋_GB2312"/>
                <w:bCs/>
                <w:color w:val="000000" w:themeColor="text1"/>
                <w:kern w:val="0"/>
                <w:szCs w:val="21"/>
                <w14:textFill>
                  <w14:solidFill>
                    <w14:schemeClr w14:val="tx1"/>
                  </w14:solidFill>
                </w14:textFill>
              </w:rPr>
              <w:t>500</w:t>
            </w:r>
            <w:r>
              <w:rPr>
                <w:rFonts w:hint="eastAsia" w:ascii="仿宋_GB2312" w:hAnsi="宋体" w:eastAsia="仿宋_GB2312"/>
                <w:bCs/>
                <w:color w:val="000000" w:themeColor="text1"/>
                <w:kern w:val="0"/>
                <w:szCs w:val="21"/>
                <w14:textFill>
                  <w14:solidFill>
                    <w14:schemeClr w14:val="tx1"/>
                  </w14:solidFill>
                </w14:textFill>
              </w:rPr>
              <w:t>万元（包括</w:t>
            </w:r>
            <w:r>
              <w:rPr>
                <w:rFonts w:ascii="仿宋_GB2312" w:hAnsi="宋体" w:eastAsia="仿宋_GB2312"/>
                <w:bCs/>
                <w:color w:val="000000" w:themeColor="text1"/>
                <w:kern w:val="0"/>
                <w:szCs w:val="21"/>
                <w14:textFill>
                  <w14:solidFill>
                    <w14:schemeClr w14:val="tx1"/>
                  </w14:solidFill>
                </w14:textFill>
              </w:rPr>
              <w:t>500</w:t>
            </w:r>
            <w:r>
              <w:rPr>
                <w:rFonts w:hint="eastAsia" w:ascii="仿宋_GB2312" w:hAnsi="宋体" w:eastAsia="仿宋_GB2312"/>
                <w:bCs/>
                <w:color w:val="000000" w:themeColor="text1"/>
                <w:kern w:val="0"/>
                <w:szCs w:val="21"/>
                <w14:textFill>
                  <w14:solidFill>
                    <w14:schemeClr w14:val="tx1"/>
                  </w14:solidFill>
                </w14:textFill>
              </w:rPr>
              <w:t>万元）以下部分不超过</w:t>
            </w:r>
            <w:r>
              <w:rPr>
                <w:rFonts w:ascii="仿宋_GB2312" w:hAnsi="宋体" w:eastAsia="仿宋_GB2312"/>
                <w:bCs/>
                <w:color w:val="000000" w:themeColor="text1"/>
                <w:kern w:val="0"/>
                <w:szCs w:val="21"/>
                <w14:textFill>
                  <w14:solidFill>
                    <w14:schemeClr w14:val="tx1"/>
                  </w14:solidFill>
                </w14:textFill>
              </w:rPr>
              <w:t>30%</w:t>
            </w:r>
            <w:r>
              <w:rPr>
                <w:rFonts w:hint="eastAsia" w:ascii="仿宋_GB2312" w:hAnsi="宋体" w:eastAsia="仿宋_GB2312"/>
                <w:bCs/>
                <w:color w:val="000000" w:themeColor="text1"/>
                <w:kern w:val="0"/>
                <w:szCs w:val="21"/>
                <w14:textFill>
                  <w14:solidFill>
                    <w14:schemeClr w14:val="tx1"/>
                  </w14:solidFill>
                </w14:textFill>
              </w:rPr>
              <w:t>，</w:t>
            </w:r>
            <w:r>
              <w:rPr>
                <w:rFonts w:ascii="仿宋_GB2312" w:hAnsi="宋体" w:eastAsia="仿宋_GB2312"/>
                <w:bCs/>
                <w:color w:val="000000" w:themeColor="text1"/>
                <w:kern w:val="0"/>
                <w:szCs w:val="21"/>
                <w14:textFill>
                  <w14:solidFill>
                    <w14:schemeClr w14:val="tx1"/>
                  </w14:solidFill>
                </w14:textFill>
              </w:rPr>
              <w:t>500</w:t>
            </w:r>
            <w:r>
              <w:rPr>
                <w:rFonts w:hint="eastAsia" w:ascii="仿宋_GB2312" w:hAnsi="宋体" w:eastAsia="仿宋_GB2312"/>
                <w:bCs/>
                <w:color w:val="000000" w:themeColor="text1"/>
                <w:kern w:val="0"/>
                <w:szCs w:val="21"/>
                <w14:textFill>
                  <w14:solidFill>
                    <w14:schemeClr w14:val="tx1"/>
                  </w14:solidFill>
                </w14:textFill>
              </w:rPr>
              <w:t>万元至</w:t>
            </w:r>
            <w:r>
              <w:rPr>
                <w:rFonts w:ascii="仿宋_GB2312" w:hAnsi="宋体" w:eastAsia="仿宋_GB2312"/>
                <w:bCs/>
                <w:color w:val="000000" w:themeColor="text1"/>
                <w:kern w:val="0"/>
                <w:szCs w:val="21"/>
                <w14:textFill>
                  <w14:solidFill>
                    <w14:schemeClr w14:val="tx1"/>
                  </w14:solidFill>
                </w14:textFill>
              </w:rPr>
              <w:t>1000</w:t>
            </w:r>
            <w:r>
              <w:rPr>
                <w:rFonts w:hint="eastAsia" w:ascii="仿宋_GB2312" w:hAnsi="宋体" w:eastAsia="仿宋_GB2312"/>
                <w:bCs/>
                <w:color w:val="000000" w:themeColor="text1"/>
                <w:kern w:val="0"/>
                <w:szCs w:val="21"/>
                <w14:textFill>
                  <w14:solidFill>
                    <w14:schemeClr w14:val="tx1"/>
                  </w14:solidFill>
                </w14:textFill>
              </w:rPr>
              <w:t>万元（包括</w:t>
            </w:r>
            <w:r>
              <w:rPr>
                <w:rFonts w:ascii="仿宋_GB2312" w:hAnsi="宋体" w:eastAsia="仿宋_GB2312"/>
                <w:bCs/>
                <w:color w:val="000000" w:themeColor="text1"/>
                <w:kern w:val="0"/>
                <w:szCs w:val="21"/>
                <w14:textFill>
                  <w14:solidFill>
                    <w14:schemeClr w14:val="tx1"/>
                  </w14:solidFill>
                </w14:textFill>
              </w:rPr>
              <w:t>1000</w:t>
            </w:r>
            <w:r>
              <w:rPr>
                <w:rFonts w:hint="eastAsia" w:ascii="仿宋_GB2312" w:hAnsi="宋体" w:eastAsia="仿宋_GB2312"/>
                <w:bCs/>
                <w:color w:val="000000" w:themeColor="text1"/>
                <w:kern w:val="0"/>
                <w:szCs w:val="21"/>
                <w14:textFill>
                  <w14:solidFill>
                    <w14:schemeClr w14:val="tx1"/>
                  </w14:solidFill>
                </w14:textFill>
              </w:rPr>
              <w:t>万元）部分不超过</w:t>
            </w:r>
            <w:r>
              <w:rPr>
                <w:rFonts w:ascii="仿宋_GB2312" w:hAnsi="宋体" w:eastAsia="仿宋_GB2312"/>
                <w:bCs/>
                <w:color w:val="000000" w:themeColor="text1"/>
                <w:kern w:val="0"/>
                <w:szCs w:val="21"/>
                <w14:textFill>
                  <w14:solidFill>
                    <w14:schemeClr w14:val="tx1"/>
                  </w14:solidFill>
                </w14:textFill>
              </w:rPr>
              <w:t>25%</w:t>
            </w:r>
            <w:r>
              <w:rPr>
                <w:rFonts w:hint="eastAsia" w:ascii="仿宋_GB2312" w:hAnsi="宋体" w:eastAsia="仿宋_GB2312"/>
                <w:bCs/>
                <w:color w:val="000000" w:themeColor="text1"/>
                <w:kern w:val="0"/>
                <w:szCs w:val="21"/>
                <w14:textFill>
                  <w14:solidFill>
                    <w14:schemeClr w14:val="tx1"/>
                  </w14:solidFill>
                </w14:textFill>
              </w:rPr>
              <w:t>，</w:t>
            </w:r>
            <w:r>
              <w:rPr>
                <w:rFonts w:ascii="仿宋_GB2312" w:hAnsi="宋体" w:eastAsia="仿宋_GB2312"/>
                <w:bCs/>
                <w:color w:val="000000" w:themeColor="text1"/>
                <w:kern w:val="0"/>
                <w:szCs w:val="21"/>
                <w14:textFill>
                  <w14:solidFill>
                    <w14:schemeClr w14:val="tx1"/>
                  </w14:solidFill>
                </w14:textFill>
              </w:rPr>
              <w:t>1000</w:t>
            </w:r>
            <w:r>
              <w:rPr>
                <w:rFonts w:hint="eastAsia" w:ascii="仿宋_GB2312" w:hAnsi="宋体" w:eastAsia="仿宋_GB2312"/>
                <w:bCs/>
                <w:color w:val="000000" w:themeColor="text1"/>
                <w:kern w:val="0"/>
                <w:szCs w:val="21"/>
                <w14:textFill>
                  <w14:solidFill>
                    <w14:schemeClr w14:val="tx1"/>
                  </w14:solidFill>
                </w14:textFill>
              </w:rPr>
              <w:t>万元以上部分不超过</w:t>
            </w:r>
            <w:r>
              <w:rPr>
                <w:rFonts w:ascii="仿宋_GB2312" w:hAnsi="宋体" w:eastAsia="仿宋_GB2312"/>
                <w:bCs/>
                <w:color w:val="000000" w:themeColor="text1"/>
                <w:kern w:val="0"/>
                <w:szCs w:val="21"/>
                <w14:textFill>
                  <w14:solidFill>
                    <w14:schemeClr w14:val="tx1"/>
                  </w14:solidFill>
                </w14:textFill>
              </w:rPr>
              <w:t>20%</w:t>
            </w:r>
            <w:r>
              <w:rPr>
                <w:rFonts w:hint="eastAsia" w:ascii="仿宋_GB2312" w:hAnsi="宋体" w:eastAsia="仿宋_GB2312"/>
                <w:bCs/>
                <w:color w:val="000000" w:themeColor="text1"/>
                <w:kern w:val="0"/>
                <w:szCs w:val="21"/>
                <w14:textFill>
                  <w14:solidFill>
                    <w14:schemeClr w14:val="tx1"/>
                  </w14:solidFill>
                </w14:textFill>
              </w:rPr>
              <w:t>。</w:t>
            </w:r>
          </w:p>
        </w:tc>
      </w:tr>
    </w:tbl>
    <w:p>
      <w:pPr>
        <w:spacing w:line="360" w:lineRule="auto"/>
        <w:rPr>
          <w:rFonts w:ascii="宋体"/>
          <w:bCs/>
          <w:color w:val="000000" w:themeColor="text1"/>
          <w14:textFill>
            <w14:solidFill>
              <w14:schemeClr w14:val="tx1"/>
            </w14:solidFill>
          </w14:textFill>
        </w:rPr>
        <w:sectPr>
          <w:pgSz w:w="16838" w:h="11906" w:orient="landscape"/>
          <w:pgMar w:top="1417" w:right="1440" w:bottom="1418" w:left="1440" w:header="851" w:footer="992" w:gutter="0"/>
          <w:cols w:space="720" w:num="1"/>
          <w:docGrid w:type="lines" w:linePitch="312" w:charSpace="0"/>
        </w:sectPr>
      </w:pPr>
    </w:p>
    <w:p>
      <w:pPr>
        <w:spacing w:line="360" w:lineRule="auto"/>
        <w:ind w:firstLine="420" w:firstLineChars="200"/>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十四、设备明细表</w:t>
      </w:r>
      <w:r>
        <w:rPr>
          <w:rFonts w:hint="eastAsia" w:ascii="宋体" w:hAnsi="宋体"/>
          <w:bCs/>
          <w:color w:val="000000" w:themeColor="text1"/>
          <w:sz w:val="18"/>
          <w:szCs w:val="18"/>
          <w14:textFill>
            <w14:solidFill>
              <w14:schemeClr w14:val="tx1"/>
            </w14:solidFill>
          </w14:textFill>
        </w:rPr>
        <w:t>（注：填写“单价50万元以上的设备”预算明细）</w:t>
      </w:r>
    </w:p>
    <w:tbl>
      <w:tblPr>
        <w:tblStyle w:val="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560" w:lineRule="exac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设备名称</w:t>
            </w:r>
          </w:p>
        </w:tc>
        <w:tc>
          <w:tcPr>
            <w:tcW w:w="1260" w:type="dxa"/>
            <w:vAlign w:val="center"/>
          </w:tcPr>
          <w:p>
            <w:pPr>
              <w:spacing w:line="560" w:lineRule="exac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规格型号</w:t>
            </w:r>
          </w:p>
        </w:tc>
        <w:tc>
          <w:tcPr>
            <w:tcW w:w="1260" w:type="dxa"/>
            <w:vAlign w:val="center"/>
          </w:tcPr>
          <w:p>
            <w:pPr>
              <w:spacing w:line="560" w:lineRule="exac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单价</w:t>
            </w:r>
          </w:p>
        </w:tc>
        <w:tc>
          <w:tcPr>
            <w:tcW w:w="1076" w:type="dxa"/>
            <w:vAlign w:val="center"/>
          </w:tcPr>
          <w:p>
            <w:pPr>
              <w:spacing w:line="560" w:lineRule="exac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数量</w:t>
            </w:r>
          </w:p>
        </w:tc>
        <w:tc>
          <w:tcPr>
            <w:tcW w:w="1422" w:type="dxa"/>
            <w:vAlign w:val="center"/>
          </w:tcPr>
          <w:p>
            <w:pPr>
              <w:spacing w:line="560" w:lineRule="exac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金额（万元）</w:t>
            </w:r>
          </w:p>
        </w:tc>
        <w:tc>
          <w:tcPr>
            <w:tcW w:w="2321" w:type="dxa"/>
            <w:vAlign w:val="center"/>
          </w:tcPr>
          <w:p>
            <w:pPr>
              <w:spacing w:line="560" w:lineRule="exact"/>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560" w:lineRule="exact"/>
              <w:rPr>
                <w:rFonts w:eastAsia="Times New Roman"/>
                <w:bCs/>
                <w:color w:val="000000" w:themeColor="text1"/>
                <w14:textFill>
                  <w14:solidFill>
                    <w14:schemeClr w14:val="tx1"/>
                  </w14:solidFill>
                </w14:textFill>
              </w:rPr>
            </w:pPr>
          </w:p>
        </w:tc>
        <w:tc>
          <w:tcPr>
            <w:tcW w:w="1260" w:type="dxa"/>
            <w:vAlign w:val="center"/>
          </w:tcPr>
          <w:p>
            <w:pPr>
              <w:spacing w:line="560" w:lineRule="exact"/>
              <w:rPr>
                <w:rFonts w:eastAsia="Times New Roman"/>
                <w:bCs/>
                <w:color w:val="000000" w:themeColor="text1"/>
                <w14:textFill>
                  <w14:solidFill>
                    <w14:schemeClr w14:val="tx1"/>
                  </w14:solidFill>
                </w14:textFill>
              </w:rPr>
            </w:pPr>
          </w:p>
        </w:tc>
        <w:tc>
          <w:tcPr>
            <w:tcW w:w="1260" w:type="dxa"/>
            <w:vAlign w:val="center"/>
          </w:tcPr>
          <w:p>
            <w:pPr>
              <w:spacing w:line="560" w:lineRule="exact"/>
              <w:rPr>
                <w:rFonts w:eastAsia="Times New Roman"/>
                <w:bCs/>
                <w:color w:val="000000" w:themeColor="text1"/>
                <w14:textFill>
                  <w14:solidFill>
                    <w14:schemeClr w14:val="tx1"/>
                  </w14:solidFill>
                </w14:textFill>
              </w:rPr>
            </w:pPr>
          </w:p>
        </w:tc>
        <w:tc>
          <w:tcPr>
            <w:tcW w:w="1076" w:type="dxa"/>
            <w:vAlign w:val="center"/>
          </w:tcPr>
          <w:p>
            <w:pPr>
              <w:spacing w:line="560" w:lineRule="exact"/>
              <w:rPr>
                <w:rFonts w:eastAsia="Times New Roman"/>
                <w:bCs/>
                <w:color w:val="000000" w:themeColor="text1"/>
                <w14:textFill>
                  <w14:solidFill>
                    <w14:schemeClr w14:val="tx1"/>
                  </w14:solidFill>
                </w14:textFill>
              </w:rPr>
            </w:pPr>
          </w:p>
        </w:tc>
        <w:tc>
          <w:tcPr>
            <w:tcW w:w="1422" w:type="dxa"/>
            <w:vAlign w:val="center"/>
          </w:tcPr>
          <w:p>
            <w:pPr>
              <w:spacing w:line="560" w:lineRule="exact"/>
              <w:rPr>
                <w:rFonts w:eastAsia="Times New Roman"/>
                <w:bCs/>
                <w:color w:val="000000" w:themeColor="text1"/>
                <w14:textFill>
                  <w14:solidFill>
                    <w14:schemeClr w14:val="tx1"/>
                  </w14:solidFill>
                </w14:textFill>
              </w:rPr>
            </w:pPr>
          </w:p>
        </w:tc>
        <w:tc>
          <w:tcPr>
            <w:tcW w:w="2321" w:type="dxa"/>
            <w:vAlign w:val="center"/>
          </w:tcPr>
          <w:p>
            <w:pPr>
              <w:spacing w:line="560" w:lineRule="exact"/>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800" w:type="dxa"/>
            <w:vAlign w:val="center"/>
          </w:tcPr>
          <w:p>
            <w:pPr>
              <w:spacing w:line="560" w:lineRule="exact"/>
              <w:rPr>
                <w:rFonts w:eastAsia="Times New Roman"/>
                <w:bCs/>
                <w:color w:val="000000" w:themeColor="text1"/>
                <w14:textFill>
                  <w14:solidFill>
                    <w14:schemeClr w14:val="tx1"/>
                  </w14:solidFill>
                </w14:textFill>
              </w:rPr>
            </w:pPr>
          </w:p>
        </w:tc>
        <w:tc>
          <w:tcPr>
            <w:tcW w:w="1260" w:type="dxa"/>
            <w:vAlign w:val="center"/>
          </w:tcPr>
          <w:p>
            <w:pPr>
              <w:spacing w:line="560" w:lineRule="exact"/>
              <w:rPr>
                <w:rFonts w:eastAsia="Times New Roman"/>
                <w:bCs/>
                <w:color w:val="000000" w:themeColor="text1"/>
                <w14:textFill>
                  <w14:solidFill>
                    <w14:schemeClr w14:val="tx1"/>
                  </w14:solidFill>
                </w14:textFill>
              </w:rPr>
            </w:pPr>
          </w:p>
        </w:tc>
        <w:tc>
          <w:tcPr>
            <w:tcW w:w="1260" w:type="dxa"/>
            <w:vAlign w:val="center"/>
          </w:tcPr>
          <w:p>
            <w:pPr>
              <w:spacing w:line="560" w:lineRule="exact"/>
              <w:rPr>
                <w:rFonts w:eastAsia="Times New Roman"/>
                <w:bCs/>
                <w:color w:val="000000" w:themeColor="text1"/>
                <w14:textFill>
                  <w14:solidFill>
                    <w14:schemeClr w14:val="tx1"/>
                  </w14:solidFill>
                </w14:textFill>
              </w:rPr>
            </w:pPr>
          </w:p>
        </w:tc>
        <w:tc>
          <w:tcPr>
            <w:tcW w:w="1076" w:type="dxa"/>
            <w:vAlign w:val="center"/>
          </w:tcPr>
          <w:p>
            <w:pPr>
              <w:spacing w:line="560" w:lineRule="exact"/>
              <w:rPr>
                <w:rFonts w:eastAsia="Times New Roman"/>
                <w:bCs/>
                <w:color w:val="000000" w:themeColor="text1"/>
                <w14:textFill>
                  <w14:solidFill>
                    <w14:schemeClr w14:val="tx1"/>
                  </w14:solidFill>
                </w14:textFill>
              </w:rPr>
            </w:pPr>
          </w:p>
        </w:tc>
        <w:tc>
          <w:tcPr>
            <w:tcW w:w="1422" w:type="dxa"/>
            <w:vAlign w:val="center"/>
          </w:tcPr>
          <w:p>
            <w:pPr>
              <w:spacing w:line="560" w:lineRule="exact"/>
              <w:rPr>
                <w:rFonts w:eastAsia="Times New Roman"/>
                <w:bCs/>
                <w:color w:val="000000" w:themeColor="text1"/>
                <w14:textFill>
                  <w14:solidFill>
                    <w14:schemeClr w14:val="tx1"/>
                  </w14:solidFill>
                </w14:textFill>
              </w:rPr>
            </w:pPr>
          </w:p>
        </w:tc>
        <w:tc>
          <w:tcPr>
            <w:tcW w:w="2321" w:type="dxa"/>
            <w:vAlign w:val="center"/>
          </w:tcPr>
          <w:p>
            <w:pPr>
              <w:spacing w:line="560" w:lineRule="exact"/>
              <w:rPr>
                <w:rFonts w:eastAsia="Times New Roman"/>
                <w:bCs/>
                <w:color w:val="000000" w:themeColor="text1"/>
                <w14:textFill>
                  <w14:solidFill>
                    <w14:schemeClr w14:val="tx1"/>
                  </w14:solidFill>
                </w14:textFill>
              </w:rPr>
            </w:pPr>
          </w:p>
        </w:tc>
      </w:tr>
    </w:tbl>
    <w:p>
      <w:pPr>
        <w:spacing w:line="360" w:lineRule="auto"/>
        <w:ind w:firstLine="420" w:firstLineChars="200"/>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十五、科技伦理审查</w:t>
      </w:r>
    </w:p>
    <w:tbl>
      <w:tblPr>
        <w:tblStyle w:val="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3169"/>
        <w:gridCol w:w="3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center"/>
          </w:tcPr>
          <w:p>
            <w:pPr>
              <w:spacing w:line="5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科技伦理审查</w:t>
            </w:r>
          </w:p>
        </w:tc>
        <w:tc>
          <w:tcPr>
            <w:tcW w:w="3169" w:type="dxa"/>
            <w:vAlign w:val="center"/>
          </w:tcPr>
          <w:p>
            <w:pPr>
              <w:spacing w:line="560" w:lineRule="exact"/>
              <w:jc w:val="left"/>
              <w:rPr>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□项目须进行科技伦理审查</w:t>
            </w:r>
          </w:p>
        </w:tc>
        <w:tc>
          <w:tcPr>
            <w:tcW w:w="3909" w:type="dxa"/>
            <w:vAlign w:val="center"/>
          </w:tcPr>
          <w:p>
            <w:pPr>
              <w:spacing w:line="560" w:lineRule="exact"/>
              <w:jc w:val="left"/>
              <w:rPr>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□项目不须进行科技伦理审查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center"/>
          </w:tcPr>
          <w:p>
            <w:pPr>
              <w:spacing w:line="5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科技伦理专家复核</w:t>
            </w:r>
          </w:p>
        </w:tc>
        <w:tc>
          <w:tcPr>
            <w:tcW w:w="3169" w:type="dxa"/>
            <w:vAlign w:val="center"/>
          </w:tcPr>
          <w:p>
            <w:pPr>
              <w:spacing w:line="560" w:lineRule="exact"/>
              <w:jc w:val="left"/>
              <w:rPr>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□项目须进行科技伦理专家复核</w:t>
            </w:r>
          </w:p>
        </w:tc>
        <w:tc>
          <w:tcPr>
            <w:tcW w:w="3909" w:type="dxa"/>
            <w:vAlign w:val="center"/>
          </w:tcPr>
          <w:p>
            <w:pPr>
              <w:spacing w:line="560" w:lineRule="exact"/>
              <w:jc w:val="left"/>
              <w:rPr>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□项目不须进行科技伦理专家复核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139" w:type="dxa"/>
            <w:gridSpan w:val="3"/>
            <w:vAlign w:val="center"/>
          </w:tcPr>
          <w:p>
            <w:pPr>
              <w:spacing w:line="560" w:lineRule="exact"/>
              <w:ind w:firstLine="420" w:firstLineChars="2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说明：科技伦理审查按照《关于加强科技伦理治理的意见》（中办发</w:t>
            </w:r>
            <w:r>
              <w:rPr>
                <w:rFonts w:hint="eastAsia" w:ascii="微软雅黑" w:hAnsi="微软雅黑" w:eastAsia="微软雅黑" w:cs="微软雅黑"/>
                <w:bCs/>
                <w:color w:val="000000" w:themeColor="text1"/>
                <w14:textFill>
                  <w14:solidFill>
                    <w14:schemeClr w14:val="tx1"/>
                  </w14:solidFill>
                </w14:textFill>
              </w:rPr>
              <w:t>〔2022〕19号</w:t>
            </w:r>
            <w:r>
              <w:rPr>
                <w:rFonts w:hint="eastAsia"/>
                <w:bCs/>
                <w:color w:val="000000" w:themeColor="text1"/>
                <w14:textFill>
                  <w14:solidFill>
                    <w14:schemeClr w14:val="tx1"/>
                  </w14:solidFill>
                </w14:textFill>
              </w:rPr>
              <w:t>）、《科技伦理审查办法（试行）》（国科发监</w:t>
            </w:r>
            <w:r>
              <w:rPr>
                <w:rFonts w:hint="eastAsia" w:ascii="微软雅黑" w:hAnsi="微软雅黑" w:eastAsia="微软雅黑" w:cs="微软雅黑"/>
                <w:bCs/>
                <w:color w:val="000000" w:themeColor="text1"/>
                <w14:textFill>
                  <w14:solidFill>
                    <w14:schemeClr w14:val="tx1"/>
                  </w14:solidFill>
                </w14:textFill>
              </w:rPr>
              <w:t>〔2023〕167号</w:t>
            </w:r>
            <w:r>
              <w:rPr>
                <w:rFonts w:hint="eastAsia"/>
                <w:bCs/>
                <w:color w:val="000000" w:themeColor="text1"/>
                <w14:textFill>
                  <w14:solidFill>
                    <w14:schemeClr w14:val="tx1"/>
                  </w14:solidFill>
                </w14:textFill>
              </w:rPr>
              <w:t>）等规定执行</w:t>
            </w:r>
          </w:p>
        </w:tc>
      </w:tr>
    </w:tbl>
    <w:p>
      <w:pPr>
        <w:pStyle w:val="3"/>
        <w:spacing w:line="500" w:lineRule="exact"/>
        <w:ind w:left="0" w:leftChars="0" w:firstLine="420" w:firstLineChars="200"/>
        <w:rPr>
          <w:rFonts w:ascii="宋体" w:hAnsi="宋体" w:eastAsiaTheme="minorEastAsia" w:cstheme="minorBidi"/>
          <w:bCs/>
          <w:color w:val="000000" w:themeColor="text1"/>
          <w:sz w:val="21"/>
          <w:szCs w:val="22"/>
          <w14:textFill>
            <w14:solidFill>
              <w14:schemeClr w14:val="tx1"/>
            </w14:solidFill>
          </w14:textFill>
        </w:rPr>
      </w:pPr>
      <w:r>
        <w:rPr>
          <w:rFonts w:hint="eastAsia" w:ascii="宋体" w:hAnsi="宋体" w:eastAsiaTheme="minorEastAsia" w:cstheme="minorBidi"/>
          <w:bCs/>
          <w:color w:val="000000" w:themeColor="text1"/>
          <w:sz w:val="21"/>
          <w:szCs w:val="22"/>
          <w14:textFill>
            <w14:solidFill>
              <w14:schemeClr w14:val="tx1"/>
            </w14:solidFill>
          </w14:textFill>
        </w:rPr>
        <w:t>十六、项目申报企业基本情况</w:t>
      </w:r>
    </w:p>
    <w:tbl>
      <w:tblPr>
        <w:tblStyle w:val="9"/>
        <w:tblW w:w="9288" w:type="dxa"/>
        <w:jc w:val="center"/>
        <w:tblLayout w:type="fixed"/>
        <w:tblCellMar>
          <w:top w:w="0" w:type="dxa"/>
          <w:left w:w="108" w:type="dxa"/>
          <w:bottom w:w="0" w:type="dxa"/>
          <w:right w:w="108" w:type="dxa"/>
        </w:tblCellMar>
      </w:tblPr>
      <w:tblGrid>
        <w:gridCol w:w="921"/>
        <w:gridCol w:w="2645"/>
        <w:gridCol w:w="1846"/>
        <w:gridCol w:w="2224"/>
        <w:gridCol w:w="50"/>
        <w:gridCol w:w="1602"/>
      </w:tblGrid>
      <w:tr>
        <w:tblPrEx>
          <w:tblCellMar>
            <w:top w:w="0" w:type="dxa"/>
            <w:left w:w="108" w:type="dxa"/>
            <w:bottom w:w="0" w:type="dxa"/>
            <w:right w:w="108" w:type="dxa"/>
          </w:tblCellMar>
        </w:tblPrEx>
        <w:trPr>
          <w:trHeight w:val="580" w:hRule="atLeast"/>
          <w:jc w:val="center"/>
        </w:trPr>
        <w:tc>
          <w:tcPr>
            <w:tcW w:w="92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项目牵头企业概况</w:t>
            </w:r>
          </w:p>
        </w:tc>
        <w:tc>
          <w:tcPr>
            <w:tcW w:w="264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经济性质</w:t>
            </w:r>
          </w:p>
        </w:tc>
        <w:tc>
          <w:tcPr>
            <w:tcW w:w="184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p>
        </w:tc>
        <w:tc>
          <w:tcPr>
            <w:tcW w:w="2274"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企业特性</w:t>
            </w:r>
          </w:p>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（规上</w:t>
            </w:r>
            <w:r>
              <w:rPr>
                <w:rFonts w:ascii="宋体" w:hAnsi="宋体"/>
                <w:bCs/>
                <w:color w:val="000000" w:themeColor="text1"/>
                <w:kern w:val="0"/>
                <w14:textFill>
                  <w14:solidFill>
                    <w14:schemeClr w14:val="tx1"/>
                  </w14:solidFill>
                </w14:textFill>
              </w:rPr>
              <w:t>/</w:t>
            </w:r>
            <w:r>
              <w:rPr>
                <w:rFonts w:hint="eastAsia" w:ascii="宋体" w:hAnsi="宋体"/>
                <w:bCs/>
                <w:color w:val="000000" w:themeColor="text1"/>
                <w:kern w:val="0"/>
                <w14:textFill>
                  <w14:solidFill>
                    <w14:schemeClr w14:val="tx1"/>
                  </w14:solidFill>
                </w14:textFill>
              </w:rPr>
              <w:t>规下）</w:t>
            </w:r>
          </w:p>
        </w:tc>
        <w:tc>
          <w:tcPr>
            <w:tcW w:w="160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企业性质</w:t>
            </w:r>
            <w:r>
              <w:rPr>
                <w:rFonts w:hint="eastAsia" w:ascii="楷体_GB2312" w:hAnsi="宋体" w:eastAsia="楷体_GB2312"/>
                <w:bCs/>
                <w:color w:val="000000" w:themeColor="text1"/>
                <w:kern w:val="0"/>
                <w:szCs w:val="21"/>
                <w14:textFill>
                  <w14:solidFill>
                    <w14:schemeClr w14:val="tx1"/>
                  </w14:solidFill>
                </w14:textFill>
              </w:rPr>
              <w:t>（可多选）</w:t>
            </w:r>
          </w:p>
        </w:tc>
        <w:tc>
          <w:tcPr>
            <w:tcW w:w="5722" w:type="dxa"/>
            <w:gridSpan w:val="4"/>
            <w:tcBorders>
              <w:top w:val="nil"/>
              <w:left w:val="nil"/>
              <w:bottom w:val="single" w:color="auto" w:sz="4" w:space="0"/>
              <w:right w:val="single" w:color="auto" w:sz="4" w:space="0"/>
            </w:tcBorders>
            <w:vAlign w:val="center"/>
          </w:tcPr>
          <w:p>
            <w:pPr>
              <w:widowControl/>
              <w:spacing w:line="300" w:lineRule="exac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□民营企业□国有企业□中外合资企业□其他</w:t>
            </w: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企业类型</w:t>
            </w:r>
          </w:p>
        </w:tc>
        <w:tc>
          <w:tcPr>
            <w:tcW w:w="5722" w:type="dxa"/>
            <w:gridSpan w:val="4"/>
            <w:tcBorders>
              <w:top w:val="nil"/>
              <w:left w:val="nil"/>
              <w:bottom w:val="single" w:color="auto" w:sz="4" w:space="0"/>
              <w:right w:val="single" w:color="auto" w:sz="4" w:space="0"/>
            </w:tcBorders>
            <w:vAlign w:val="center"/>
          </w:tcPr>
          <w:p>
            <w:pPr>
              <w:widowControl/>
              <w:spacing w:line="300" w:lineRule="exac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□高新技术企业□科技型中小企业□其他</w:t>
            </w:r>
          </w:p>
        </w:tc>
      </w:tr>
      <w:tr>
        <w:tblPrEx>
          <w:tblCellMar>
            <w:top w:w="0" w:type="dxa"/>
            <w:left w:w="108" w:type="dxa"/>
            <w:bottom w:w="0" w:type="dxa"/>
            <w:right w:w="108" w:type="dxa"/>
          </w:tblCellMar>
        </w:tblPrEx>
        <w:trPr>
          <w:trHeight w:val="285"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上市情况</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□主板□创业板□科创板（□内蒙科创板；□</w:t>
            </w:r>
            <w:r>
              <w:rPr>
                <w:rFonts w:hint="eastAsia" w:ascii="宋体" w:hAnsi="宋体"/>
                <w:bCs/>
                <w:color w:val="000000" w:themeColor="text1"/>
                <w:kern w:val="0"/>
                <w:szCs w:val="21"/>
                <w:u w:val="single"/>
                <w14:textFill>
                  <w14:solidFill>
                    <w14:schemeClr w14:val="tx1"/>
                  </w14:solidFill>
                </w14:textFill>
              </w:rPr>
              <w:t>上海</w:t>
            </w:r>
            <w:r>
              <w:rPr>
                <w:rFonts w:hint="eastAsia" w:ascii="宋体" w:hAnsi="宋体"/>
                <w:bCs/>
                <w:color w:val="000000" w:themeColor="text1"/>
                <w:kern w:val="0"/>
                <w:szCs w:val="21"/>
                <w14:textFill>
                  <w14:solidFill>
                    <w14:schemeClr w14:val="tx1"/>
                  </w14:solidFill>
                </w14:textFill>
              </w:rPr>
              <w:t>科创板）□新三板□新三板优选层□未上市□其他</w:t>
            </w:r>
          </w:p>
        </w:tc>
      </w:tr>
      <w:tr>
        <w:tblPrEx>
          <w:tblCellMar>
            <w:top w:w="0" w:type="dxa"/>
            <w:left w:w="108" w:type="dxa"/>
            <w:bottom w:w="0" w:type="dxa"/>
            <w:right w:w="108" w:type="dxa"/>
          </w:tblCellMar>
        </w:tblPrEx>
        <w:trPr>
          <w:trHeight w:val="559"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公司注册地址</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　（具体到旗县或园区）</w:t>
            </w: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成立时间</w:t>
            </w:r>
          </w:p>
        </w:tc>
        <w:tc>
          <w:tcPr>
            <w:tcW w:w="1846" w:type="dxa"/>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　</w:t>
            </w:r>
            <w:r>
              <w:rPr>
                <w:rFonts w:hint="eastAsia" w:ascii="宋体" w:hAnsi="宋体" w:eastAsia="宋体"/>
                <w:bCs/>
                <w:color w:val="000000" w:themeColor="text1"/>
                <w:kern w:val="0"/>
                <w:szCs w:val="21"/>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年</w:t>
            </w:r>
            <w:r>
              <w:rPr>
                <w:rFonts w:hint="eastAsia" w:ascii="宋体" w:hAnsi="宋体" w:eastAsia="宋体"/>
                <w:bCs/>
                <w:color w:val="000000" w:themeColor="text1"/>
                <w:kern w:val="0"/>
                <w:szCs w:val="21"/>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月</w:t>
            </w:r>
          </w:p>
        </w:tc>
        <w:tc>
          <w:tcPr>
            <w:tcW w:w="2224"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人员规模</w:t>
            </w:r>
          </w:p>
        </w:tc>
        <w:tc>
          <w:tcPr>
            <w:tcW w:w="1652"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47"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注册资本（万元）</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75" w:hRule="atLeast"/>
          <w:jc w:val="center"/>
        </w:trPr>
        <w:tc>
          <w:tcPr>
            <w:tcW w:w="921" w:type="dxa"/>
            <w:vMerge w:val="restart"/>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研发概况</w:t>
            </w: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研发人员数量</w:t>
            </w:r>
          </w:p>
        </w:tc>
        <w:tc>
          <w:tcPr>
            <w:tcW w:w="1846" w:type="dxa"/>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w:t>
            </w:r>
          </w:p>
        </w:tc>
        <w:tc>
          <w:tcPr>
            <w:tcW w:w="2274"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上年度研究开发经费投入（万元）</w:t>
            </w:r>
          </w:p>
        </w:tc>
        <w:tc>
          <w:tcPr>
            <w:tcW w:w="1602" w:type="dxa"/>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sz w:val="15"/>
                <w:szCs w:val="15"/>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4491" w:type="dxa"/>
            <w:gridSpan w:val="2"/>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上年度研究开发经费投入与主营业务收入之比（投入强度，</w:t>
            </w:r>
            <w:r>
              <w:rPr>
                <w:rFonts w:ascii="宋体" w:hAnsi="宋体"/>
                <w:bCs/>
                <w:color w:val="000000" w:themeColor="text1"/>
                <w:kern w:val="0"/>
                <w14:textFill>
                  <w14:solidFill>
                    <w14:schemeClr w14:val="tx1"/>
                  </w14:solidFill>
                </w14:textFill>
              </w:rPr>
              <w:t>%</w:t>
            </w:r>
            <w:r>
              <w:rPr>
                <w:rFonts w:hint="eastAsia" w:ascii="宋体" w:hAnsi="宋体"/>
                <w:bCs/>
                <w:color w:val="000000" w:themeColor="text1"/>
                <w:kern w:val="0"/>
                <w14:textFill>
                  <w14:solidFill>
                    <w14:schemeClr w14:val="tx1"/>
                  </w14:solidFill>
                </w14:textFill>
              </w:rPr>
              <w:t>）</w:t>
            </w:r>
          </w:p>
        </w:tc>
        <w:tc>
          <w:tcPr>
            <w:tcW w:w="3876" w:type="dxa"/>
            <w:gridSpan w:val="3"/>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获得发明专利数量</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软件著作权</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nil"/>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制定国家和地方标准</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vMerge w:val="restart"/>
            <w:tcBorders>
              <w:top w:val="single" w:color="auto" w:sz="4" w:space="0"/>
              <w:left w:val="nil"/>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已有创新平台</w:t>
            </w:r>
          </w:p>
          <w:p>
            <w:pPr>
              <w:widowControl/>
              <w:spacing w:line="300" w:lineRule="exact"/>
              <w:jc w:val="center"/>
              <w:rPr>
                <w:rFonts w:ascii="宋体"/>
                <w:bCs/>
                <w:color w:val="000000" w:themeColor="text1"/>
                <w:kern w:val="0"/>
                <w14:textFill>
                  <w14:solidFill>
                    <w14:schemeClr w14:val="tx1"/>
                  </w14:solidFill>
                </w14:textFill>
              </w:rPr>
            </w:pPr>
            <w:r>
              <w:rPr>
                <w:rFonts w:hint="eastAsia" w:ascii="楷体_GB2312" w:hAnsi="宋体" w:eastAsia="楷体_GB2312"/>
                <w:bCs/>
                <w:color w:val="000000" w:themeColor="text1"/>
                <w:kern w:val="0"/>
                <w:sz w:val="18"/>
                <w:szCs w:val="18"/>
                <w14:textFill>
                  <w14:solidFill>
                    <w14:schemeClr w14:val="tx1"/>
                  </w14:solidFill>
                </w14:textFill>
              </w:rPr>
              <w:t>（需标注认定或备案部门，企业内设平台也可标注）</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vMerge w:val="continue"/>
            <w:tcBorders>
              <w:left w:val="nil"/>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single" w:color="auto" w:sz="4" w:space="0"/>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vMerge w:val="continue"/>
            <w:tcBorders>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p>
        </w:tc>
      </w:tr>
    </w:tbl>
    <w:p>
      <w:pPr>
        <w:spacing w:line="360" w:lineRule="auto"/>
        <w:rPr>
          <w:rFonts w:ascii="宋体"/>
          <w:bCs/>
          <w:color w:val="000000" w:themeColor="text1"/>
          <w14:textFill>
            <w14:solidFill>
              <w14:schemeClr w14:val="tx1"/>
            </w14:solidFill>
          </w14:textFill>
        </w:rPr>
      </w:pPr>
    </w:p>
    <w:p>
      <w:pPr>
        <w:spacing w:line="360" w:lineRule="auto"/>
        <w:ind w:firstLine="315" w:firstLineChars="150"/>
        <w:rPr>
          <w:rFonts w:asci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十七、单位意见</w:t>
      </w:r>
    </w:p>
    <w:tbl>
      <w:tblPr>
        <w:tblStyle w:val="9"/>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pPr>
              <w:spacing w:line="360" w:lineRule="auto"/>
              <w:jc w:val="center"/>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项目名称</w:t>
            </w:r>
          </w:p>
        </w:tc>
        <w:tc>
          <w:tcPr>
            <w:tcW w:w="6583" w:type="dxa"/>
          </w:tcPr>
          <w:p>
            <w:pPr>
              <w:spacing w:line="360" w:lineRule="auto"/>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pPr>
              <w:spacing w:line="360" w:lineRule="auto"/>
              <w:rPr>
                <w:rFonts w:eastAsia="Times New Roman"/>
                <w:bCs/>
                <w:color w:val="000000" w:themeColor="text1"/>
                <w14:textFill>
                  <w14:solidFill>
                    <w14:schemeClr w14:val="tx1"/>
                  </w14:solidFill>
                </w14:textFill>
              </w:rPr>
            </w:pPr>
            <w:r>
              <w:rPr>
                <w:rFonts w:hint="eastAsia"/>
                <w:bCs/>
                <w:color w:val="000000" w:themeColor="text1"/>
                <w14:textFill>
                  <w14:solidFill>
                    <w14:schemeClr w14:val="tx1"/>
                  </w14:solidFill>
                </w14:textFill>
              </w:rPr>
              <w:t>申报单位意见</w:t>
            </w:r>
          </w:p>
          <w:p>
            <w:pPr>
              <w:spacing w:line="360" w:lineRule="auto"/>
              <w:rPr>
                <w:rFonts w:eastAsia="Times New Roman"/>
                <w:bCs/>
                <w:color w:val="000000" w:themeColor="text1"/>
                <w14:textFill>
                  <w14:solidFill>
                    <w14:schemeClr w14:val="tx1"/>
                  </w14:solidFill>
                </w14:textFill>
              </w:rPr>
            </w:pPr>
          </w:p>
          <w:p>
            <w:pPr>
              <w:spacing w:line="360" w:lineRule="auto"/>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法人代表（签字或盖章）：　　　　　（单位盖章）</w:t>
            </w:r>
          </w:p>
          <w:p>
            <w:pPr>
              <w:spacing w:line="360" w:lineRule="auto"/>
              <w:rPr>
                <w:bCs/>
                <w:color w:val="000000" w:themeColor="text1"/>
                <w14:textFill>
                  <w14:solidFill>
                    <w14:schemeClr w14:val="tx1"/>
                  </w14:solidFill>
                </w14:textFill>
              </w:rPr>
            </w:pPr>
            <w:r>
              <w:rPr>
                <w:rFonts w:hint="eastAsia"/>
                <w:bCs/>
                <w:color w:val="000000" w:themeColor="text1"/>
                <w14:textFill>
                  <w14:solidFill>
                    <w14:schemeClr w14:val="tx1"/>
                  </w14:solidFill>
                </w14:textFill>
              </w:rPr>
              <w:t>　　　　　年</w:t>
            </w:r>
            <w:r>
              <w:rPr>
                <w:rFonts w:hint="eastAsia" w:eastAsia="宋体"/>
                <w:bCs/>
                <w:color w:val="000000" w:themeColor="text1"/>
                <w14:textFill>
                  <w14:solidFill>
                    <w14:schemeClr w14:val="tx1"/>
                  </w14:solidFill>
                </w14:textFill>
              </w:rPr>
              <w:t xml:space="preserve">   </w:t>
            </w:r>
            <w:r>
              <w:rPr>
                <w:rFonts w:hint="eastAsia"/>
                <w:bCs/>
                <w:color w:val="000000" w:themeColor="text1"/>
                <w14:textFill>
                  <w14:solidFill>
                    <w14:schemeClr w14:val="tx1"/>
                  </w14:solidFill>
                </w14:textFill>
              </w:rPr>
              <w:t>月   日</w:t>
            </w:r>
          </w:p>
        </w:tc>
      </w:tr>
    </w:tbl>
    <w:p>
      <w:pPr>
        <w:spacing w:line="520" w:lineRule="exact"/>
        <w:ind w:firstLine="420" w:firstLineChars="200"/>
        <w:jc w:val="left"/>
        <w:rPr>
          <w:rFonts w:ascii="宋体"/>
          <w:b/>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十八、相关附件</w:t>
      </w:r>
    </w:p>
    <w:p>
      <w:pPr>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1.申报单位科研诚信承诺书。</w:t>
      </w:r>
    </w:p>
    <w:p>
      <w:pPr>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2.项目负责人科研诚信承诺书。</w:t>
      </w:r>
    </w:p>
    <w:p>
      <w:pPr>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3.企业牵头申报，需提供近3年（2022年、2023年、2024年）报送税务局的企业年度财务报表（包括资产负债表、利润表或业务活动表、现金流量表）。</w:t>
      </w:r>
    </w:p>
    <w:p>
      <w:pPr>
        <w:spacing w:line="400" w:lineRule="exact"/>
        <w:ind w:firstLine="420" w:firstLineChars="200"/>
        <w:jc w:val="left"/>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4.联合申报项目须提供联合申报协议。项目参与人所在单位非牵头单位的，均视为合作单位。联合申报协议应明确各单位任务分工、经费分配、知识产权归属、协议有效期等。项目牵头申报单位应与所有参与单位分别签订协议，应加盖双方单位公章、法人代表签字、项目（课题）负责人及相关人员签字和签署日期等</w:t>
      </w:r>
      <w:r>
        <w:rPr>
          <w:rFonts w:hint="eastAsia" w:eastAsia="宋体"/>
          <w:color w:val="000000" w:themeColor="text1"/>
          <w14:textFill>
            <w14:solidFill>
              <w14:schemeClr w14:val="tx1"/>
            </w14:solidFill>
          </w14:textFill>
        </w:rPr>
        <w:t>。</w:t>
      </w:r>
    </w:p>
    <w:p>
      <w:pPr>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5.企业资金匹配承诺书。</w:t>
      </w:r>
    </w:p>
    <w:p>
      <w:pPr>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6.与项目相关的其他证明材料或文件（选择提供）。</w:t>
      </w:r>
    </w:p>
    <w:tbl>
      <w:tblPr>
        <w:tblStyle w:val="9"/>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58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序号</w:t>
            </w:r>
          </w:p>
        </w:tc>
        <w:tc>
          <w:tcPr>
            <w:tcW w:w="5806"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附件名称</w:t>
            </w:r>
          </w:p>
        </w:tc>
        <w:tc>
          <w:tcPr>
            <w:tcW w:w="1184"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ind w:left="2142"/>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bl>
    <w:p>
      <w:pPr>
        <w:rPr>
          <w:rFonts w:ascii="仿宋_GB2312" w:hAnsi="黑体" w:eastAsia="仿宋_GB2312"/>
          <w:b/>
          <w:color w:val="000000" w:themeColor="text1"/>
          <w14:textFill>
            <w14:solidFill>
              <w14:schemeClr w14:val="tx1"/>
            </w14:solidFill>
          </w14:textFill>
        </w:rPr>
      </w:pPr>
    </w:p>
    <w:p>
      <w:pPr>
        <w:rPr>
          <w:rFonts w:ascii="仿宋_GB2312" w:hAnsi="黑体" w:eastAsia="仿宋_GB2312"/>
          <w:b/>
          <w:color w:val="000000" w:themeColor="text1"/>
          <w14:textFill>
            <w14:solidFill>
              <w14:schemeClr w14:val="tx1"/>
            </w14:solidFill>
          </w14:textFill>
        </w:rPr>
      </w:pPr>
      <w:r>
        <w:rPr>
          <w:rFonts w:ascii="仿宋_GB2312" w:hAnsi="黑体" w:eastAsia="仿宋_GB2312"/>
          <w:b/>
          <w:color w:val="000000" w:themeColor="text1"/>
          <w14:textFill>
            <w14:solidFill>
              <w14:schemeClr w14:val="tx1"/>
            </w14:solidFill>
          </w14:textFill>
        </w:rPr>
        <w:br w:type="page"/>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申报单位科研诚信承诺书</w:t>
      </w:r>
    </w:p>
    <w:p>
      <w:pPr>
        <w:spacing w:line="440" w:lineRule="exact"/>
        <w:jc w:val="center"/>
        <w:rPr>
          <w:rFonts w:ascii="方正小标宋简体" w:eastAsia="方正小标宋简体"/>
          <w:color w:val="000000" w:themeColor="text1"/>
          <w14:textFill>
            <w14:solidFill>
              <w14:schemeClr w14:val="tx1"/>
            </w14:solidFill>
          </w14:textFill>
        </w:rPr>
      </w:pP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申报材料。在此</w:t>
      </w:r>
      <w:r>
        <w:rPr>
          <w:rFonts w:hint="eastAsia" w:ascii="黑体" w:hAnsi="黑体" w:eastAsia="黑体"/>
          <w:color w:val="000000" w:themeColor="text1"/>
          <w:sz w:val="28"/>
          <w:szCs w:val="32"/>
          <w14:textFill>
            <w14:solidFill>
              <w14:schemeClr w14:val="tx1"/>
            </w14:solidFill>
          </w14:textFill>
        </w:rPr>
        <w:t>郑重承诺</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（一）采取贿赂或变相贿赂、造假、剽窃、故意重复申报等不正当手段获取科技计划项目承担资格。</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（二）以任何形式探听未公开的评审专家名单及其他评审过程中的保密信息，干扰评审或可能影响评审公正性的活动。</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（三）不如实填写《任务书》；实施过程中，随意降低目标任务和约定要求；把任务转包，分包他人。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（四）隐瞒违背科研诚信要求的行为，不上报，不处理；不配合科研不端行为调查处理工作。</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（五）推脱，拒绝或不配合科技计划项目现场监督检查工作。</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（六）虚构、伪造科研成果、证件、协议书、审计报告等验收材料，或以实施周期外、不相关的成果冲抵交差。</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（七）其它违反财经纪律和相关管理规定的行为。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如有违反，本单位愿接受相关部门做出的各项处理决定，包括但不限于取消项目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承担资格，追回项目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经费，向社会通报违规情况，一定期限内取消科技计划项目申报资格，记入科研诚信严重失信行为数据库以及接受相应的党纪政纪处理等。</w:t>
      </w:r>
    </w:p>
    <w:p>
      <w:pPr>
        <w:spacing w:line="400" w:lineRule="exact"/>
        <w:rPr>
          <w:rFonts w:ascii="仿宋_GB2312" w:eastAsia="仿宋_GB2312"/>
          <w:color w:val="000000" w:themeColor="text1"/>
          <w:sz w:val="28"/>
          <w:szCs w:val="32"/>
          <w14:textFill>
            <w14:solidFill>
              <w14:schemeClr w14:val="tx1"/>
            </w14:solidFill>
          </w14:textFill>
        </w:rPr>
      </w:pP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承诺单位单位负责人签字：</w:t>
      </w:r>
    </w:p>
    <w:p>
      <w:pPr>
        <w:spacing w:line="400" w:lineRule="exact"/>
        <w:ind w:firstLine="1540" w:firstLineChars="550"/>
        <w:rPr>
          <w:rFonts w:ascii="仿宋_GB2312" w:eastAsia="仿宋_GB2312"/>
          <w:color w:val="000000" w:themeColor="text1"/>
          <w:sz w:val="28"/>
          <w:szCs w:val="32"/>
          <w14:textFill>
            <w14:solidFill>
              <w14:schemeClr w14:val="tx1"/>
            </w14:solidFill>
          </w14:textFill>
        </w:rPr>
      </w:pP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公章</w:t>
      </w:r>
      <w:r>
        <w:rPr>
          <w:rFonts w:ascii="仿宋_GB2312" w:eastAsia="仿宋_GB2312"/>
          <w:color w:val="000000" w:themeColor="text1"/>
          <w:sz w:val="28"/>
          <w:szCs w:val="32"/>
          <w14:textFill>
            <w14:solidFill>
              <w14:schemeClr w14:val="tx1"/>
            </w14:solidFill>
          </w14:textFill>
        </w:rPr>
        <w:t xml:space="preserve">)                                   </w:t>
      </w:r>
    </w:p>
    <w:p>
      <w:pPr>
        <w:spacing w:line="400" w:lineRule="exact"/>
        <w:ind w:firstLine="6860" w:firstLineChars="2450"/>
        <w:rPr>
          <w:rFonts w:ascii="华文中宋" w:hAnsi="华文中宋" w:eastAsia="华文中宋"/>
          <w:b/>
          <w:color w:val="000000" w:themeColor="text1"/>
          <w:sz w:val="44"/>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年  月  日</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内蒙古自治区科技计划项目负责人</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科研诚信承诺书</w:t>
      </w:r>
    </w:p>
    <w:p>
      <w:pPr>
        <w:adjustRightInd w:val="0"/>
        <w:snapToGrid w:val="0"/>
        <w:spacing w:line="440" w:lineRule="atLeast"/>
        <w:jc w:val="center"/>
        <w:rPr>
          <w:rFonts w:ascii="黑体" w:hAnsi="黑体" w:eastAsia="黑体"/>
          <w:color w:val="000000" w:themeColor="text1"/>
          <w14:textFill>
            <w14:solidFill>
              <w14:schemeClr w14:val="tx1"/>
            </w14:solidFill>
          </w14:textFill>
        </w:rPr>
      </w:pP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本人根据内蒙古自治区科技计划项目管理办法和指南要求，并在认真阅读理解内蒙古自治区科技计划经费预算管理相关文件及有关财务规章制度基础上，自愿提交项目(课题)申报材料。本人在此</w:t>
      </w:r>
      <w:r>
        <w:rPr>
          <w:rFonts w:hint="eastAsia" w:ascii="黑体" w:hAnsi="黑体" w:eastAsia="黑体" w:cs="黑体"/>
          <w:color w:val="000000" w:themeColor="text1"/>
          <w:sz w:val="28"/>
          <w:szCs w:val="28"/>
          <w14:textFill>
            <w14:solidFill>
              <w14:schemeClr w14:val="tx1"/>
            </w14:solidFill>
          </w14:textFill>
        </w:rPr>
        <w:t>郑重承诺</w:t>
      </w:r>
      <w:r>
        <w:rPr>
          <w:rFonts w:hint="eastAsia" w:ascii="仿宋_GB2312" w:hAnsi="仿宋_GB2312" w:eastAsia="仿宋_GB2312" w:cs="仿宋_GB2312"/>
          <w:color w:val="000000" w:themeColor="text1"/>
          <w:sz w:val="28"/>
          <w:szCs w:val="28"/>
          <w14:textFill>
            <w14:solidFill>
              <w14:schemeClr w14:val="tx1"/>
            </w14:solidFill>
          </w14:textFill>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（一）采取造假、剽窃、故意重复申报等不正当手段获取科技计划项目承担资格。</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（三）在实施过程中，随意降低目标任务和约定要求。</w:t>
      </w:r>
    </w:p>
    <w:p>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（四）抵触、不配合科研不端行为调查工作。</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（五）以次充好，虚构科研成果、证件、协议书、审计报告等验收材料，或以实施周期外、不相关的成果冲抵交差。</w:t>
      </w:r>
    </w:p>
    <w:p>
      <w:pPr>
        <w:spacing w:line="440" w:lineRule="exact"/>
        <w:ind w:firstLine="700" w:firstLine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(六)其它违反财经纪律和相关管理规定的行为。</w:t>
      </w: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5180" w:firstLineChars="18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项目负责人签字：    </w:t>
      </w:r>
    </w:p>
    <w:p>
      <w:pPr>
        <w:snapToGrid w:val="0"/>
        <w:spacing w:line="440" w:lineRule="atLeast"/>
        <w:ind w:firstLine="6580" w:firstLineChars="235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7140" w:firstLineChars="2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br w:type="page"/>
      </w:r>
    </w:p>
    <w:p>
      <w:pPr>
        <w:jc w:val="center"/>
        <w:rPr>
          <w:rFonts w:eastAsia="Times New Roman"/>
          <w:color w:val="000000" w:themeColor="text1"/>
          <w14:textFill>
            <w14:solidFill>
              <w14:schemeClr w14:val="tx1"/>
            </w14:solidFill>
          </w14:textFill>
        </w:rPr>
      </w:pP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企业资金匹配承诺书</w:t>
      </w:r>
    </w:p>
    <w:p>
      <w:pPr>
        <w:jc w:val="center"/>
        <w:rPr>
          <w:rFonts w:ascii="仿宋_GB2312" w:eastAsia="仿宋_GB2312"/>
          <w:color w:val="000000" w:themeColor="text1"/>
          <w14:textFill>
            <w14:solidFill>
              <w14:schemeClr w14:val="tx1"/>
            </w14:solidFill>
          </w14:textFill>
        </w:rPr>
      </w:pPr>
    </w:p>
    <w:p>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（企业填写）</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我单位承诺为内蒙古自治区科技计划项目</w:t>
      </w:r>
      <w:r>
        <w:rPr>
          <w:rFonts w:hint="eastAsia" w:ascii="仿宋_GB2312" w:eastAsia="仿宋_GB2312"/>
          <w:color w:val="000000" w:themeColor="text1"/>
          <w:sz w:val="32"/>
          <w:szCs w:val="32"/>
          <w:u w:val="single"/>
          <w14:textFill>
            <w14:solidFill>
              <w14:schemeClr w14:val="tx1"/>
            </w14:solidFill>
          </w14:textFill>
        </w:rPr>
        <w:t>“项目名称”</w:t>
      </w:r>
      <w:r>
        <w:rPr>
          <w:rFonts w:hint="eastAsia" w:ascii="仿宋_GB2312" w:eastAsia="仿宋_GB2312"/>
          <w:color w:val="000000" w:themeColor="text1"/>
          <w:sz w:val="32"/>
          <w:szCs w:val="32"/>
          <w14:textFill>
            <w14:solidFill>
              <w14:schemeClr w14:val="tx1"/>
            </w14:solidFill>
          </w14:textFill>
        </w:rPr>
        <w:t>提供万元配套经费。</w:t>
      </w: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p>
    <w:p>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pPr>
        <w:ind w:firstLine="3520" w:firstLineChars="1100"/>
        <w:jc w:val="left"/>
        <w:rPr>
          <w:rFonts w:ascii="仿宋_GB2312" w:hAnsi="宋体" w:eastAsia="仿宋_GB2312"/>
          <w:color w:val="000000" w:themeColor="text1"/>
          <w:sz w:val="32"/>
          <w:szCs w:val="32"/>
          <w14:textFill>
            <w14:solidFill>
              <w14:schemeClr w14:val="tx1"/>
            </w14:solidFill>
          </w14:textFill>
        </w:rPr>
      </w:pP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项目负责人（签章）</w:t>
      </w:r>
      <w:r>
        <w:rPr>
          <w:rFonts w:ascii="仿宋_GB2312" w:hAnsi="宋体" w:eastAsia="仿宋_GB2312"/>
          <w:color w:val="000000" w:themeColor="text1"/>
          <w:sz w:val="32"/>
          <w:szCs w:val="32"/>
          <w14:textFill>
            <w14:solidFill>
              <w14:schemeClr w14:val="tx1"/>
            </w14:solidFill>
          </w14:textFill>
        </w:rPr>
        <w:t>:</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p>
    <w:p>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pPr>
        <w:ind w:firstLine="4060" w:firstLineChars="1450"/>
        <w:jc w:val="left"/>
        <w:rPr>
          <w:rFonts w:ascii="仿宋_GB2312" w:hAnsi="宋体" w:eastAsia="仿宋_GB2312"/>
          <w:color w:val="000000" w:themeColor="text1"/>
          <w:sz w:val="28"/>
          <w:szCs w:val="28"/>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spacing w:line="660" w:lineRule="exact"/>
        <w:ind w:firstLine="642" w:firstLineChars="200"/>
        <w:rPr>
          <w:rFonts w:ascii="黑体" w:hAnsi="黑体" w:eastAsia="黑体"/>
          <w:b/>
          <w:color w:val="000000" w:themeColor="text1"/>
          <w:sz w:val="32"/>
          <w:szCs w:val="32"/>
          <w14:textFill>
            <w14:solidFill>
              <w14:schemeClr w14:val="tx1"/>
            </w14:solidFill>
          </w14:textFill>
        </w:rPr>
      </w:pPr>
    </w:p>
    <w:p>
      <w:pPr>
        <w:spacing w:line="640" w:lineRule="exact"/>
        <w:ind w:right="640"/>
        <w:jc w:val="left"/>
        <w:rPr>
          <w:rFonts w:ascii="黑体" w:hAnsi="黑体" w:eastAsia="黑体"/>
          <w:b/>
          <w:color w:val="000000" w:themeColor="text1"/>
          <w:sz w:val="32"/>
          <w:szCs w:val="32"/>
          <w14:textFill>
            <w14:solidFill>
              <w14:schemeClr w14:val="tx1"/>
            </w14:solidFill>
          </w14:textFill>
        </w:rPr>
      </w:pPr>
    </w:p>
    <w:sectPr>
      <w:headerReference r:id="rId13" w:type="default"/>
      <w:footerReference r:id="rId1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0000000000000000000"/>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CESI小标宋-GB18030">
    <w:panose1 w:val="02000500000000000000"/>
    <w:charset w:val="86"/>
    <w:family w:val="auto"/>
    <w:pitch w:val="default"/>
    <w:sig w:usb0="A00002BF" w:usb1="38CF7CFA" w:usb2="00000016" w:usb3="00000000" w:csb0="0004000F" w:csb1="00000000"/>
  </w:font>
  <w:font w:name="微软雅黑">
    <w:altName w:val="方正黑体_GBK"/>
    <w:panose1 w:val="00000000000000000000"/>
    <w:charset w:val="86"/>
    <w:family w:val="swiss"/>
    <w:pitch w:val="default"/>
    <w:sig w:usb0="00000000" w:usb1="00000000" w:usb2="00000016" w:usb3="00000000" w:csb0="0004001F"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Style w:val="13"/>
                            </w:rPr>
                          </w:pPr>
                          <w:r>
                            <w:rPr>
                              <w:rStyle w:val="13"/>
                            </w:rPr>
                            <w:fldChar w:fldCharType="begin"/>
                          </w:r>
                          <w:r>
                            <w:rPr>
                              <w:rStyle w:val="13"/>
                            </w:rPr>
                            <w:instrText xml:space="preserve">PAGE  </w:instrText>
                          </w:r>
                          <w:r>
                            <w:rPr>
                              <w:rStyle w:val="13"/>
                            </w:rPr>
                            <w:fldChar w:fldCharType="separate"/>
                          </w:r>
                          <w:r>
                            <w:rPr>
                              <w:rStyle w:val="13"/>
                            </w:rPr>
                            <w:t>19</w:t>
                          </w:r>
                          <w:r>
                            <w:rPr>
                              <w:rStyle w:val="13"/>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DSJGuw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6"/>
                      <w:rPr>
                        <w:rStyle w:val="13"/>
                      </w:rPr>
                    </w:pPr>
                    <w:r>
                      <w:rPr>
                        <w:rStyle w:val="13"/>
                      </w:rPr>
                      <w:fldChar w:fldCharType="begin"/>
                    </w:r>
                    <w:r>
                      <w:rPr>
                        <w:rStyle w:val="13"/>
                      </w:rPr>
                      <w:instrText xml:space="preserve">PAGE  </w:instrText>
                    </w:r>
                    <w:r>
                      <w:rPr>
                        <w:rStyle w:val="13"/>
                      </w:rPr>
                      <w:fldChar w:fldCharType="separate"/>
                    </w:r>
                    <w:r>
                      <w:rPr>
                        <w:rStyle w:val="13"/>
                      </w:rPr>
                      <w:t>19</w:t>
                    </w:r>
                    <w:r>
                      <w:rPr>
                        <w:rStyle w:val="13"/>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5250"/>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NzJhMGFhZjM4MTJmODBmNjIyODNlYjhkN2IwNmQifQ=="/>
  </w:docVars>
  <w:rsids>
    <w:rsidRoot w:val="001A53BB"/>
    <w:rsid w:val="00030245"/>
    <w:rsid w:val="00030458"/>
    <w:rsid w:val="00032C81"/>
    <w:rsid w:val="000330D6"/>
    <w:rsid w:val="00033136"/>
    <w:rsid w:val="00033E6C"/>
    <w:rsid w:val="000473EE"/>
    <w:rsid w:val="0005547D"/>
    <w:rsid w:val="00056693"/>
    <w:rsid w:val="00064AE5"/>
    <w:rsid w:val="00065D54"/>
    <w:rsid w:val="00070CA0"/>
    <w:rsid w:val="0007167B"/>
    <w:rsid w:val="00083911"/>
    <w:rsid w:val="00086666"/>
    <w:rsid w:val="00087EEF"/>
    <w:rsid w:val="000936D9"/>
    <w:rsid w:val="00096F72"/>
    <w:rsid w:val="000A5794"/>
    <w:rsid w:val="000A7745"/>
    <w:rsid w:val="000A79DE"/>
    <w:rsid w:val="000B2475"/>
    <w:rsid w:val="000B2586"/>
    <w:rsid w:val="000B4DCE"/>
    <w:rsid w:val="000B6253"/>
    <w:rsid w:val="000B7C15"/>
    <w:rsid w:val="000C2239"/>
    <w:rsid w:val="000C3EB1"/>
    <w:rsid w:val="000C64E3"/>
    <w:rsid w:val="000D5BCA"/>
    <w:rsid w:val="000E225C"/>
    <w:rsid w:val="000E7D2A"/>
    <w:rsid w:val="000F4124"/>
    <w:rsid w:val="000F5434"/>
    <w:rsid w:val="000F57D0"/>
    <w:rsid w:val="00101259"/>
    <w:rsid w:val="001028C6"/>
    <w:rsid w:val="001033B2"/>
    <w:rsid w:val="0010379C"/>
    <w:rsid w:val="00103ADC"/>
    <w:rsid w:val="0010637B"/>
    <w:rsid w:val="00112046"/>
    <w:rsid w:val="00116E47"/>
    <w:rsid w:val="001178F8"/>
    <w:rsid w:val="001214F7"/>
    <w:rsid w:val="00130A85"/>
    <w:rsid w:val="0013370C"/>
    <w:rsid w:val="00133957"/>
    <w:rsid w:val="00135E67"/>
    <w:rsid w:val="00136D16"/>
    <w:rsid w:val="001375D0"/>
    <w:rsid w:val="00140EDF"/>
    <w:rsid w:val="001463E7"/>
    <w:rsid w:val="00151303"/>
    <w:rsid w:val="001518D9"/>
    <w:rsid w:val="00155BE3"/>
    <w:rsid w:val="00157C59"/>
    <w:rsid w:val="00157F99"/>
    <w:rsid w:val="001620D2"/>
    <w:rsid w:val="00162752"/>
    <w:rsid w:val="001731A8"/>
    <w:rsid w:val="0017325E"/>
    <w:rsid w:val="0018189A"/>
    <w:rsid w:val="00181AD8"/>
    <w:rsid w:val="00181FF9"/>
    <w:rsid w:val="001829F4"/>
    <w:rsid w:val="0019066E"/>
    <w:rsid w:val="0019069E"/>
    <w:rsid w:val="001A1318"/>
    <w:rsid w:val="001A3CD6"/>
    <w:rsid w:val="001A474D"/>
    <w:rsid w:val="001A4BA0"/>
    <w:rsid w:val="001A5066"/>
    <w:rsid w:val="001A53BB"/>
    <w:rsid w:val="001B1CCB"/>
    <w:rsid w:val="001B7116"/>
    <w:rsid w:val="001C1AC0"/>
    <w:rsid w:val="001C69F6"/>
    <w:rsid w:val="001C7B08"/>
    <w:rsid w:val="001E3D64"/>
    <w:rsid w:val="001E7DFB"/>
    <w:rsid w:val="001F4FED"/>
    <w:rsid w:val="00210729"/>
    <w:rsid w:val="00211C4E"/>
    <w:rsid w:val="0021265F"/>
    <w:rsid w:val="0021621C"/>
    <w:rsid w:val="002234CF"/>
    <w:rsid w:val="00232F6F"/>
    <w:rsid w:val="00236476"/>
    <w:rsid w:val="00240E05"/>
    <w:rsid w:val="002551FE"/>
    <w:rsid w:val="00262F82"/>
    <w:rsid w:val="00265DD2"/>
    <w:rsid w:val="0029589A"/>
    <w:rsid w:val="002A0D0B"/>
    <w:rsid w:val="002A657C"/>
    <w:rsid w:val="002A77CB"/>
    <w:rsid w:val="002B4380"/>
    <w:rsid w:val="002B72F5"/>
    <w:rsid w:val="002C1C41"/>
    <w:rsid w:val="002C6743"/>
    <w:rsid w:val="002C6DF1"/>
    <w:rsid w:val="002E41DA"/>
    <w:rsid w:val="002E5019"/>
    <w:rsid w:val="002E5267"/>
    <w:rsid w:val="002E5DCD"/>
    <w:rsid w:val="002F4709"/>
    <w:rsid w:val="0030346F"/>
    <w:rsid w:val="0030469C"/>
    <w:rsid w:val="00306BEB"/>
    <w:rsid w:val="00307EA7"/>
    <w:rsid w:val="0031413B"/>
    <w:rsid w:val="003163C7"/>
    <w:rsid w:val="0031706C"/>
    <w:rsid w:val="00321559"/>
    <w:rsid w:val="003234C6"/>
    <w:rsid w:val="00324FA6"/>
    <w:rsid w:val="00327883"/>
    <w:rsid w:val="003301B5"/>
    <w:rsid w:val="00330A8E"/>
    <w:rsid w:val="00343F7D"/>
    <w:rsid w:val="003469D1"/>
    <w:rsid w:val="003549D7"/>
    <w:rsid w:val="00356C87"/>
    <w:rsid w:val="00360E58"/>
    <w:rsid w:val="00381FA0"/>
    <w:rsid w:val="00387146"/>
    <w:rsid w:val="00391641"/>
    <w:rsid w:val="00395217"/>
    <w:rsid w:val="00396475"/>
    <w:rsid w:val="003970D0"/>
    <w:rsid w:val="003A230A"/>
    <w:rsid w:val="003B4437"/>
    <w:rsid w:val="003B6141"/>
    <w:rsid w:val="003B6710"/>
    <w:rsid w:val="003D57D7"/>
    <w:rsid w:val="003E7473"/>
    <w:rsid w:val="003E7E99"/>
    <w:rsid w:val="003F059E"/>
    <w:rsid w:val="004040E6"/>
    <w:rsid w:val="00404C73"/>
    <w:rsid w:val="00412D81"/>
    <w:rsid w:val="00427C98"/>
    <w:rsid w:val="00430541"/>
    <w:rsid w:val="00433BB5"/>
    <w:rsid w:val="004433C2"/>
    <w:rsid w:val="0044634E"/>
    <w:rsid w:val="00450CEB"/>
    <w:rsid w:val="0045379D"/>
    <w:rsid w:val="00455668"/>
    <w:rsid w:val="004557CF"/>
    <w:rsid w:val="0046126D"/>
    <w:rsid w:val="00461648"/>
    <w:rsid w:val="00463383"/>
    <w:rsid w:val="00467EA3"/>
    <w:rsid w:val="004929C3"/>
    <w:rsid w:val="00492BBF"/>
    <w:rsid w:val="00493973"/>
    <w:rsid w:val="004948FD"/>
    <w:rsid w:val="004A09C4"/>
    <w:rsid w:val="004A2636"/>
    <w:rsid w:val="004A4BC6"/>
    <w:rsid w:val="004A673D"/>
    <w:rsid w:val="004B3BBB"/>
    <w:rsid w:val="004B4054"/>
    <w:rsid w:val="004D23D6"/>
    <w:rsid w:val="004D551E"/>
    <w:rsid w:val="004D7BEA"/>
    <w:rsid w:val="004E4884"/>
    <w:rsid w:val="004E6733"/>
    <w:rsid w:val="004F4F48"/>
    <w:rsid w:val="004F59EB"/>
    <w:rsid w:val="00512224"/>
    <w:rsid w:val="00524AA9"/>
    <w:rsid w:val="0052666D"/>
    <w:rsid w:val="0053024C"/>
    <w:rsid w:val="0053042A"/>
    <w:rsid w:val="00533C15"/>
    <w:rsid w:val="00535757"/>
    <w:rsid w:val="00552C42"/>
    <w:rsid w:val="00553F5E"/>
    <w:rsid w:val="00572AED"/>
    <w:rsid w:val="005735A5"/>
    <w:rsid w:val="0057397C"/>
    <w:rsid w:val="00575AF7"/>
    <w:rsid w:val="00576A78"/>
    <w:rsid w:val="005774AB"/>
    <w:rsid w:val="00577694"/>
    <w:rsid w:val="0058000A"/>
    <w:rsid w:val="00585240"/>
    <w:rsid w:val="00585B48"/>
    <w:rsid w:val="0059097C"/>
    <w:rsid w:val="005954D1"/>
    <w:rsid w:val="0059649A"/>
    <w:rsid w:val="00596985"/>
    <w:rsid w:val="005A7ECB"/>
    <w:rsid w:val="005B0F24"/>
    <w:rsid w:val="005B10C1"/>
    <w:rsid w:val="005B10D7"/>
    <w:rsid w:val="005B3335"/>
    <w:rsid w:val="005B37DF"/>
    <w:rsid w:val="005B3F64"/>
    <w:rsid w:val="005D38AC"/>
    <w:rsid w:val="005E0914"/>
    <w:rsid w:val="005E31F3"/>
    <w:rsid w:val="005E4D71"/>
    <w:rsid w:val="005F0D51"/>
    <w:rsid w:val="005F7C3F"/>
    <w:rsid w:val="006009B1"/>
    <w:rsid w:val="0060485B"/>
    <w:rsid w:val="00607E0A"/>
    <w:rsid w:val="0061120B"/>
    <w:rsid w:val="00611418"/>
    <w:rsid w:val="00612450"/>
    <w:rsid w:val="0061272C"/>
    <w:rsid w:val="0061733B"/>
    <w:rsid w:val="00621384"/>
    <w:rsid w:val="00624B57"/>
    <w:rsid w:val="00632D5A"/>
    <w:rsid w:val="00642C2E"/>
    <w:rsid w:val="0065263E"/>
    <w:rsid w:val="00654E25"/>
    <w:rsid w:val="006551B4"/>
    <w:rsid w:val="006569CE"/>
    <w:rsid w:val="006673C4"/>
    <w:rsid w:val="00680DEF"/>
    <w:rsid w:val="00680E2D"/>
    <w:rsid w:val="00684718"/>
    <w:rsid w:val="006901AC"/>
    <w:rsid w:val="00696E3A"/>
    <w:rsid w:val="006A1628"/>
    <w:rsid w:val="006A4271"/>
    <w:rsid w:val="006B26FE"/>
    <w:rsid w:val="006B79AC"/>
    <w:rsid w:val="006C2A88"/>
    <w:rsid w:val="006C3939"/>
    <w:rsid w:val="006D4F66"/>
    <w:rsid w:val="006F125E"/>
    <w:rsid w:val="006F390C"/>
    <w:rsid w:val="006F4141"/>
    <w:rsid w:val="007050BC"/>
    <w:rsid w:val="00707220"/>
    <w:rsid w:val="00712181"/>
    <w:rsid w:val="00720450"/>
    <w:rsid w:val="00723FAB"/>
    <w:rsid w:val="00731344"/>
    <w:rsid w:val="00732441"/>
    <w:rsid w:val="0073441F"/>
    <w:rsid w:val="0074165F"/>
    <w:rsid w:val="00742F16"/>
    <w:rsid w:val="0074509D"/>
    <w:rsid w:val="0074548A"/>
    <w:rsid w:val="00750103"/>
    <w:rsid w:val="00750FAE"/>
    <w:rsid w:val="0075531C"/>
    <w:rsid w:val="0075531F"/>
    <w:rsid w:val="00761A88"/>
    <w:rsid w:val="00765187"/>
    <w:rsid w:val="00776589"/>
    <w:rsid w:val="00776784"/>
    <w:rsid w:val="007767EE"/>
    <w:rsid w:val="00780C7C"/>
    <w:rsid w:val="0078484C"/>
    <w:rsid w:val="00792DA9"/>
    <w:rsid w:val="00794E38"/>
    <w:rsid w:val="007A1DB0"/>
    <w:rsid w:val="007C1C75"/>
    <w:rsid w:val="007D13CB"/>
    <w:rsid w:val="007E09F5"/>
    <w:rsid w:val="007E1837"/>
    <w:rsid w:val="007E7AEA"/>
    <w:rsid w:val="007F7BCC"/>
    <w:rsid w:val="00811D46"/>
    <w:rsid w:val="008209BF"/>
    <w:rsid w:val="00824A07"/>
    <w:rsid w:val="00830C0F"/>
    <w:rsid w:val="00835B69"/>
    <w:rsid w:val="008424A7"/>
    <w:rsid w:val="00852BAF"/>
    <w:rsid w:val="00856C27"/>
    <w:rsid w:val="00861DAB"/>
    <w:rsid w:val="008837C5"/>
    <w:rsid w:val="00885800"/>
    <w:rsid w:val="008978C3"/>
    <w:rsid w:val="008979CF"/>
    <w:rsid w:val="008A023E"/>
    <w:rsid w:val="008A0BDB"/>
    <w:rsid w:val="008A602F"/>
    <w:rsid w:val="008B6CD8"/>
    <w:rsid w:val="008C053B"/>
    <w:rsid w:val="008C293C"/>
    <w:rsid w:val="008C3532"/>
    <w:rsid w:val="008C4341"/>
    <w:rsid w:val="008E3346"/>
    <w:rsid w:val="008F5D1B"/>
    <w:rsid w:val="008F74B9"/>
    <w:rsid w:val="00902D55"/>
    <w:rsid w:val="00905989"/>
    <w:rsid w:val="009113C0"/>
    <w:rsid w:val="00915A75"/>
    <w:rsid w:val="0091700C"/>
    <w:rsid w:val="009325D1"/>
    <w:rsid w:val="009356A4"/>
    <w:rsid w:val="009629F5"/>
    <w:rsid w:val="0096482D"/>
    <w:rsid w:val="00974ACD"/>
    <w:rsid w:val="0098333B"/>
    <w:rsid w:val="009836FD"/>
    <w:rsid w:val="009847D3"/>
    <w:rsid w:val="00991CB5"/>
    <w:rsid w:val="00993E1B"/>
    <w:rsid w:val="009975E7"/>
    <w:rsid w:val="009A10BC"/>
    <w:rsid w:val="009A2A3C"/>
    <w:rsid w:val="009A5F56"/>
    <w:rsid w:val="009B063D"/>
    <w:rsid w:val="009B387B"/>
    <w:rsid w:val="009B46FA"/>
    <w:rsid w:val="009B5E54"/>
    <w:rsid w:val="009B67A2"/>
    <w:rsid w:val="009C1464"/>
    <w:rsid w:val="009C1490"/>
    <w:rsid w:val="009D1F82"/>
    <w:rsid w:val="009D53CD"/>
    <w:rsid w:val="009D6C9C"/>
    <w:rsid w:val="009D7076"/>
    <w:rsid w:val="009E06F6"/>
    <w:rsid w:val="009E2851"/>
    <w:rsid w:val="009E3302"/>
    <w:rsid w:val="00A10E7E"/>
    <w:rsid w:val="00A1463C"/>
    <w:rsid w:val="00A224EF"/>
    <w:rsid w:val="00A269CB"/>
    <w:rsid w:val="00A337BC"/>
    <w:rsid w:val="00A33D33"/>
    <w:rsid w:val="00A361AF"/>
    <w:rsid w:val="00A40494"/>
    <w:rsid w:val="00A43E55"/>
    <w:rsid w:val="00A45BCE"/>
    <w:rsid w:val="00A5257A"/>
    <w:rsid w:val="00A549CD"/>
    <w:rsid w:val="00A629C0"/>
    <w:rsid w:val="00A63292"/>
    <w:rsid w:val="00A64120"/>
    <w:rsid w:val="00A6456A"/>
    <w:rsid w:val="00A81FA4"/>
    <w:rsid w:val="00A859FD"/>
    <w:rsid w:val="00A940D7"/>
    <w:rsid w:val="00A97DA6"/>
    <w:rsid w:val="00AA6B84"/>
    <w:rsid w:val="00AC0591"/>
    <w:rsid w:val="00AC329C"/>
    <w:rsid w:val="00AC494F"/>
    <w:rsid w:val="00AD4998"/>
    <w:rsid w:val="00AE200E"/>
    <w:rsid w:val="00AE32D2"/>
    <w:rsid w:val="00AE4C0F"/>
    <w:rsid w:val="00AE54D3"/>
    <w:rsid w:val="00AE6FCD"/>
    <w:rsid w:val="00AE7619"/>
    <w:rsid w:val="00AF5F95"/>
    <w:rsid w:val="00B01079"/>
    <w:rsid w:val="00B0239A"/>
    <w:rsid w:val="00B02BED"/>
    <w:rsid w:val="00B07D2A"/>
    <w:rsid w:val="00B11C63"/>
    <w:rsid w:val="00B22823"/>
    <w:rsid w:val="00B32991"/>
    <w:rsid w:val="00B33F3E"/>
    <w:rsid w:val="00B405C4"/>
    <w:rsid w:val="00B46B10"/>
    <w:rsid w:val="00B4795D"/>
    <w:rsid w:val="00B517D9"/>
    <w:rsid w:val="00B644F1"/>
    <w:rsid w:val="00B728B4"/>
    <w:rsid w:val="00B760C2"/>
    <w:rsid w:val="00B77728"/>
    <w:rsid w:val="00B93E8E"/>
    <w:rsid w:val="00BA1605"/>
    <w:rsid w:val="00BB02B7"/>
    <w:rsid w:val="00BB401A"/>
    <w:rsid w:val="00BC1637"/>
    <w:rsid w:val="00BD0D91"/>
    <w:rsid w:val="00BD281A"/>
    <w:rsid w:val="00BD2A2B"/>
    <w:rsid w:val="00BD3690"/>
    <w:rsid w:val="00BD3BD3"/>
    <w:rsid w:val="00BE4900"/>
    <w:rsid w:val="00BE4D36"/>
    <w:rsid w:val="00BE73F9"/>
    <w:rsid w:val="00BE765A"/>
    <w:rsid w:val="00BE7BBA"/>
    <w:rsid w:val="00BF4C1B"/>
    <w:rsid w:val="00C02220"/>
    <w:rsid w:val="00C04802"/>
    <w:rsid w:val="00C12BA3"/>
    <w:rsid w:val="00C16EA5"/>
    <w:rsid w:val="00C21F10"/>
    <w:rsid w:val="00C2215D"/>
    <w:rsid w:val="00C26048"/>
    <w:rsid w:val="00C26394"/>
    <w:rsid w:val="00C30145"/>
    <w:rsid w:val="00C304A1"/>
    <w:rsid w:val="00C30F43"/>
    <w:rsid w:val="00C34A9D"/>
    <w:rsid w:val="00C375D6"/>
    <w:rsid w:val="00C42A31"/>
    <w:rsid w:val="00C50637"/>
    <w:rsid w:val="00C5071B"/>
    <w:rsid w:val="00C50CE1"/>
    <w:rsid w:val="00C65A7A"/>
    <w:rsid w:val="00C70E10"/>
    <w:rsid w:val="00C718B0"/>
    <w:rsid w:val="00C71B12"/>
    <w:rsid w:val="00C71C5E"/>
    <w:rsid w:val="00C74919"/>
    <w:rsid w:val="00C76FDD"/>
    <w:rsid w:val="00C81789"/>
    <w:rsid w:val="00C82509"/>
    <w:rsid w:val="00C92256"/>
    <w:rsid w:val="00CA2F9C"/>
    <w:rsid w:val="00CB0EA2"/>
    <w:rsid w:val="00CB136E"/>
    <w:rsid w:val="00CB47E4"/>
    <w:rsid w:val="00CC2CE0"/>
    <w:rsid w:val="00CC40CA"/>
    <w:rsid w:val="00CC46C6"/>
    <w:rsid w:val="00CD6208"/>
    <w:rsid w:val="00CE198B"/>
    <w:rsid w:val="00CE6320"/>
    <w:rsid w:val="00CE7836"/>
    <w:rsid w:val="00D01ADE"/>
    <w:rsid w:val="00D03B3C"/>
    <w:rsid w:val="00D065CB"/>
    <w:rsid w:val="00D112E7"/>
    <w:rsid w:val="00D15AFB"/>
    <w:rsid w:val="00D15E2B"/>
    <w:rsid w:val="00D205E6"/>
    <w:rsid w:val="00D24720"/>
    <w:rsid w:val="00D25E75"/>
    <w:rsid w:val="00D268F0"/>
    <w:rsid w:val="00D2775A"/>
    <w:rsid w:val="00D302DC"/>
    <w:rsid w:val="00D37375"/>
    <w:rsid w:val="00D4653F"/>
    <w:rsid w:val="00D46999"/>
    <w:rsid w:val="00D50DAC"/>
    <w:rsid w:val="00D510B4"/>
    <w:rsid w:val="00D53962"/>
    <w:rsid w:val="00D54188"/>
    <w:rsid w:val="00D61260"/>
    <w:rsid w:val="00D647B8"/>
    <w:rsid w:val="00D65EAD"/>
    <w:rsid w:val="00D6695B"/>
    <w:rsid w:val="00D706CD"/>
    <w:rsid w:val="00D74A6E"/>
    <w:rsid w:val="00D74C8D"/>
    <w:rsid w:val="00D76EDD"/>
    <w:rsid w:val="00D779F5"/>
    <w:rsid w:val="00D77B6C"/>
    <w:rsid w:val="00D80A2D"/>
    <w:rsid w:val="00D83B94"/>
    <w:rsid w:val="00D91CD8"/>
    <w:rsid w:val="00DA164D"/>
    <w:rsid w:val="00DB1519"/>
    <w:rsid w:val="00DB2BCF"/>
    <w:rsid w:val="00DB30D7"/>
    <w:rsid w:val="00DB47EF"/>
    <w:rsid w:val="00DB4881"/>
    <w:rsid w:val="00DB72EE"/>
    <w:rsid w:val="00DD5743"/>
    <w:rsid w:val="00DE43D2"/>
    <w:rsid w:val="00DE5381"/>
    <w:rsid w:val="00DE6FFC"/>
    <w:rsid w:val="00DF1648"/>
    <w:rsid w:val="00DF430A"/>
    <w:rsid w:val="00DF4B35"/>
    <w:rsid w:val="00DF6CB6"/>
    <w:rsid w:val="00E0599E"/>
    <w:rsid w:val="00E05F20"/>
    <w:rsid w:val="00E07742"/>
    <w:rsid w:val="00E136FE"/>
    <w:rsid w:val="00E14633"/>
    <w:rsid w:val="00E20BF0"/>
    <w:rsid w:val="00E2459B"/>
    <w:rsid w:val="00E26D51"/>
    <w:rsid w:val="00E342E0"/>
    <w:rsid w:val="00E37852"/>
    <w:rsid w:val="00E43181"/>
    <w:rsid w:val="00E4528A"/>
    <w:rsid w:val="00E55F65"/>
    <w:rsid w:val="00E55FD5"/>
    <w:rsid w:val="00E57285"/>
    <w:rsid w:val="00E613CB"/>
    <w:rsid w:val="00E63215"/>
    <w:rsid w:val="00E634C5"/>
    <w:rsid w:val="00E649A6"/>
    <w:rsid w:val="00E75A9C"/>
    <w:rsid w:val="00E81F02"/>
    <w:rsid w:val="00E83E2A"/>
    <w:rsid w:val="00E93938"/>
    <w:rsid w:val="00E97779"/>
    <w:rsid w:val="00EA1A4D"/>
    <w:rsid w:val="00EA64DE"/>
    <w:rsid w:val="00EB0B45"/>
    <w:rsid w:val="00EB3156"/>
    <w:rsid w:val="00EB5F49"/>
    <w:rsid w:val="00EB71AE"/>
    <w:rsid w:val="00EB7F3D"/>
    <w:rsid w:val="00EC3A0E"/>
    <w:rsid w:val="00EC49DE"/>
    <w:rsid w:val="00ED1F83"/>
    <w:rsid w:val="00ED27C7"/>
    <w:rsid w:val="00ED2CF2"/>
    <w:rsid w:val="00EE5FFF"/>
    <w:rsid w:val="00EF2CB4"/>
    <w:rsid w:val="00EF3545"/>
    <w:rsid w:val="00EF75F6"/>
    <w:rsid w:val="00F00205"/>
    <w:rsid w:val="00F05D42"/>
    <w:rsid w:val="00F05D44"/>
    <w:rsid w:val="00F12C79"/>
    <w:rsid w:val="00F32EAE"/>
    <w:rsid w:val="00F37275"/>
    <w:rsid w:val="00F43E2E"/>
    <w:rsid w:val="00F451B9"/>
    <w:rsid w:val="00F45768"/>
    <w:rsid w:val="00F46544"/>
    <w:rsid w:val="00F5032C"/>
    <w:rsid w:val="00F50341"/>
    <w:rsid w:val="00F50A70"/>
    <w:rsid w:val="00F563D5"/>
    <w:rsid w:val="00F5667D"/>
    <w:rsid w:val="00F56AE1"/>
    <w:rsid w:val="00F663B2"/>
    <w:rsid w:val="00F669DC"/>
    <w:rsid w:val="00F70BDB"/>
    <w:rsid w:val="00F72B85"/>
    <w:rsid w:val="00F72E5B"/>
    <w:rsid w:val="00F8489B"/>
    <w:rsid w:val="00F84CC9"/>
    <w:rsid w:val="00F91ABF"/>
    <w:rsid w:val="00F93909"/>
    <w:rsid w:val="00FA2041"/>
    <w:rsid w:val="00FA66DE"/>
    <w:rsid w:val="00FA74A9"/>
    <w:rsid w:val="00FB2211"/>
    <w:rsid w:val="00FB254A"/>
    <w:rsid w:val="00FC094D"/>
    <w:rsid w:val="00FC52B8"/>
    <w:rsid w:val="00FD092C"/>
    <w:rsid w:val="00FD75A5"/>
    <w:rsid w:val="00FF05CA"/>
    <w:rsid w:val="00FF5306"/>
    <w:rsid w:val="00FF5A26"/>
    <w:rsid w:val="00FF5B10"/>
    <w:rsid w:val="00FF5B91"/>
    <w:rsid w:val="025F41ED"/>
    <w:rsid w:val="04AF130C"/>
    <w:rsid w:val="07B52C0B"/>
    <w:rsid w:val="092B6A6F"/>
    <w:rsid w:val="09D718D9"/>
    <w:rsid w:val="0B195CD6"/>
    <w:rsid w:val="0BB32BF8"/>
    <w:rsid w:val="0D8C59F8"/>
    <w:rsid w:val="0EF34C60"/>
    <w:rsid w:val="0FA35DB6"/>
    <w:rsid w:val="136E1102"/>
    <w:rsid w:val="13B01DD4"/>
    <w:rsid w:val="147B197B"/>
    <w:rsid w:val="15296EFF"/>
    <w:rsid w:val="1AE500A6"/>
    <w:rsid w:val="1C683D33"/>
    <w:rsid w:val="1EA27C15"/>
    <w:rsid w:val="1FA450A3"/>
    <w:rsid w:val="2191310A"/>
    <w:rsid w:val="29571ECD"/>
    <w:rsid w:val="2B9C4D33"/>
    <w:rsid w:val="2DCF5D1B"/>
    <w:rsid w:val="30D66A3C"/>
    <w:rsid w:val="33127789"/>
    <w:rsid w:val="336F3DF8"/>
    <w:rsid w:val="35E112F6"/>
    <w:rsid w:val="376ED438"/>
    <w:rsid w:val="386F5F7F"/>
    <w:rsid w:val="38A36A37"/>
    <w:rsid w:val="3A63213F"/>
    <w:rsid w:val="3B334DEC"/>
    <w:rsid w:val="3B345984"/>
    <w:rsid w:val="3E0C5D01"/>
    <w:rsid w:val="3E5134AA"/>
    <w:rsid w:val="3F4B4C6D"/>
    <w:rsid w:val="3F7FFC25"/>
    <w:rsid w:val="402709BC"/>
    <w:rsid w:val="466F367B"/>
    <w:rsid w:val="48784B0D"/>
    <w:rsid w:val="49243BFC"/>
    <w:rsid w:val="4B812D87"/>
    <w:rsid w:val="4BFC7FEC"/>
    <w:rsid w:val="4C2E7AAA"/>
    <w:rsid w:val="4FFB7CB7"/>
    <w:rsid w:val="53B25D30"/>
    <w:rsid w:val="54646308"/>
    <w:rsid w:val="58000370"/>
    <w:rsid w:val="58235E2F"/>
    <w:rsid w:val="5C211F83"/>
    <w:rsid w:val="5EFF697C"/>
    <w:rsid w:val="5F7D3259"/>
    <w:rsid w:val="60432529"/>
    <w:rsid w:val="63327B59"/>
    <w:rsid w:val="63DD2788"/>
    <w:rsid w:val="64CC0746"/>
    <w:rsid w:val="65E67C53"/>
    <w:rsid w:val="67F33965"/>
    <w:rsid w:val="6A90699A"/>
    <w:rsid w:val="6BE4292B"/>
    <w:rsid w:val="6E9C531E"/>
    <w:rsid w:val="6F173C92"/>
    <w:rsid w:val="6F7B9A37"/>
    <w:rsid w:val="750E12B9"/>
    <w:rsid w:val="776DD0E6"/>
    <w:rsid w:val="7B653BDA"/>
    <w:rsid w:val="7BD75D88"/>
    <w:rsid w:val="7C181612"/>
    <w:rsid w:val="7EFF05C0"/>
    <w:rsid w:val="7FBE6DFD"/>
    <w:rsid w:val="7FF7A7D6"/>
    <w:rsid w:val="9FDB4E9A"/>
    <w:rsid w:val="ADF78E0E"/>
    <w:rsid w:val="BDEDE6AF"/>
    <w:rsid w:val="BDFB6076"/>
    <w:rsid w:val="BFF7BB76"/>
    <w:rsid w:val="DDF733DD"/>
    <w:rsid w:val="DFFF0D7C"/>
    <w:rsid w:val="E74F7BE7"/>
    <w:rsid w:val="EDFFA541"/>
    <w:rsid w:val="FBFA7A50"/>
    <w:rsid w:val="FC6FE4D0"/>
    <w:rsid w:val="FC7F5492"/>
    <w:rsid w:val="FDFF12EA"/>
    <w:rsid w:val="FE6E2906"/>
    <w:rsid w:val="FF32DCBD"/>
    <w:rsid w:val="FFBE79CE"/>
    <w:rsid w:val="FFFFE0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pPr>
  </w:style>
  <w:style w:type="paragraph" w:styleId="3">
    <w:name w:val="Body Text Indent"/>
    <w:basedOn w:val="1"/>
    <w:link w:val="26"/>
    <w:unhideWhenUsed/>
    <w:qFormat/>
    <w:uiPriority w:val="99"/>
    <w:pPr>
      <w:spacing w:after="120"/>
      <w:ind w:left="420" w:leftChars="200"/>
    </w:pPr>
    <w:rPr>
      <w:rFonts w:ascii="Times New Roman" w:hAnsi="Times New Roman" w:eastAsia="宋体" w:cs="Times New Roman"/>
      <w:sz w:val="24"/>
      <w:szCs w:val="24"/>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unhideWhenUsed/>
    <w:qFormat/>
    <w:uiPriority w:val="99"/>
    <w:rPr>
      <w:rFonts w:cs="Times New Roman"/>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styleId="15">
    <w:name w:val="footnote reference"/>
    <w:basedOn w:val="11"/>
    <w:unhideWhenUsed/>
    <w:qFormat/>
    <w:uiPriority w:val="99"/>
    <w:rPr>
      <w:rFonts w:cs="Times New Roman"/>
      <w:vertAlign w:val="superscript"/>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1"/>
    <w:link w:val="5"/>
    <w:semiHidden/>
    <w:qFormat/>
    <w:uiPriority w:val="99"/>
    <w:rPr>
      <w:kern w:val="2"/>
      <w:sz w:val="18"/>
      <w:szCs w:val="18"/>
    </w:rPr>
  </w:style>
  <w:style w:type="character" w:customStyle="1" w:styleId="20">
    <w:name w:val="日期 字符"/>
    <w:basedOn w:val="11"/>
    <w:link w:val="4"/>
    <w:semiHidden/>
    <w:qFormat/>
    <w:uiPriority w:val="99"/>
    <w:rPr>
      <w:kern w:val="2"/>
      <w:sz w:val="21"/>
      <w:szCs w:val="22"/>
    </w:rPr>
  </w:style>
  <w:style w:type="character" w:customStyle="1" w:styleId="21">
    <w:name w:val="正文文本 字符"/>
    <w:basedOn w:val="11"/>
    <w:link w:val="2"/>
    <w:qFormat/>
    <w:uiPriority w:val="99"/>
    <w:rPr>
      <w:kern w:val="2"/>
      <w:sz w:val="21"/>
      <w:szCs w:val="22"/>
    </w:r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character" w:customStyle="1" w:styleId="23">
    <w:name w:val="页脚 字符3"/>
    <w:basedOn w:val="11"/>
    <w:semiHidden/>
    <w:qFormat/>
    <w:locked/>
    <w:uiPriority w:val="99"/>
    <w:rPr>
      <w:rFonts w:cs="Times New Roman"/>
      <w:sz w:val="18"/>
      <w:szCs w:val="18"/>
    </w:rPr>
  </w:style>
  <w:style w:type="character" w:customStyle="1" w:styleId="24">
    <w:name w:val="页眉 字符3"/>
    <w:basedOn w:val="11"/>
    <w:semiHidden/>
    <w:qFormat/>
    <w:locked/>
    <w:uiPriority w:val="99"/>
    <w:rPr>
      <w:rFonts w:cs="Times New Roman"/>
      <w:sz w:val="18"/>
      <w:szCs w:val="18"/>
    </w:rPr>
  </w:style>
  <w:style w:type="character" w:customStyle="1" w:styleId="25">
    <w:name w:val="正文文本缩进 字符"/>
    <w:basedOn w:val="11"/>
    <w:semiHidden/>
    <w:qFormat/>
    <w:uiPriority w:val="99"/>
    <w:rPr>
      <w:kern w:val="2"/>
      <w:sz w:val="21"/>
      <w:szCs w:val="22"/>
    </w:rPr>
  </w:style>
  <w:style w:type="character" w:customStyle="1" w:styleId="26">
    <w:name w:val="正文文本缩进 字符1"/>
    <w:basedOn w:val="11"/>
    <w:link w:val="3"/>
    <w:qFormat/>
    <w:locked/>
    <w:uiPriority w:val="99"/>
    <w:rPr>
      <w:rFonts w:ascii="Times New Roman" w:hAnsi="Times New Roman" w:eastAsia="宋体" w:cs="Times New Roman"/>
      <w:kern w:val="2"/>
      <w:sz w:val="24"/>
      <w:szCs w:val="24"/>
    </w:rPr>
  </w:style>
  <w:style w:type="character" w:customStyle="1" w:styleId="27">
    <w:name w:val="书籍标题1"/>
    <w:basedOn w:val="11"/>
    <w:qFormat/>
    <w:uiPriority w:val="33"/>
    <w:rPr>
      <w:b/>
      <w:bCs/>
      <w:i/>
      <w:iCs/>
      <w:spacing w:val="5"/>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2956</Words>
  <Characters>16851</Characters>
  <Lines>140</Lines>
  <Paragraphs>39</Paragraphs>
  <TotalTime>11</TotalTime>
  <ScaleCrop>false</ScaleCrop>
  <LinksUpToDate>false</LinksUpToDate>
  <CharactersWithSpaces>19768</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2024-11-12T23:58:00Z</dcterms:created>
  <dc:creator>刘宇明</dc:creator>
  <cp:lastModifiedBy>kjj</cp:lastModifiedBy>
  <cp:lastPrinted>2025-09-26T08:48:00Z</cp:lastPrinted>
  <dcterms:modified xsi:type="dcterms:W3CDTF">2025-09-26T16:58:27Z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7C5FDCCD76ACF891B355D66846C27CC8</vt:lpwstr>
  </property>
  <property fmtid="{D5CDD505-2E9C-101B-9397-08002B2CF9AE}" pid="4" name="KSOTemplateDocerSaveRecord">
    <vt:lpwstr>eyJoZGlkIjoiNGEyMDY4Y2M5OWNjNGFhMDM0MGRhODFiZjk5MmJlNDciLCJ1c2VySWQiOiI0Mzk2MTIwOTYifQ==</vt:lpwstr>
  </property>
</Properties>
</file>